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0" w:rsidRDefault="000B444B">
      <w:pPr>
        <w:pStyle w:val="RefAgency"/>
        <w:tabs>
          <w:tab w:val="left" w:pos="1287"/>
        </w:tabs>
        <w:rPr>
          <w:szCs w:val="15"/>
        </w:rPr>
      </w:pPr>
      <w:bookmarkStart w:id="0" w:name="_GoBack"/>
      <w:bookmarkEnd w:id="0"/>
      <w:r>
        <w:rPr>
          <w:szCs w:val="15"/>
        </w:rPr>
        <w:t>08 March</w:t>
      </w:r>
      <w:r w:rsidR="00AB70A0">
        <w:rPr>
          <w:szCs w:val="15"/>
        </w:rPr>
        <w:t xml:space="preserve"> 201</w:t>
      </w:r>
      <w:r w:rsidR="005C4CD6">
        <w:rPr>
          <w:szCs w:val="15"/>
        </w:rPr>
        <w:t>6</w:t>
      </w:r>
    </w:p>
    <w:p w:rsidR="00AB70A0" w:rsidRDefault="001A6BCF">
      <w:pPr>
        <w:pStyle w:val="RefAgency"/>
        <w:tabs>
          <w:tab w:val="left" w:pos="1287"/>
        </w:tabs>
        <w:rPr>
          <w:szCs w:val="15"/>
        </w:rPr>
      </w:pPr>
      <w:r w:rsidRPr="00321A33">
        <w:rPr>
          <w:szCs w:val="15"/>
        </w:rPr>
        <w:fldChar w:fldCharType="begin"/>
      </w:r>
      <w:r w:rsidR="00761142" w:rsidRPr="00321A33">
        <w:rPr>
          <w:szCs w:val="15"/>
        </w:rPr>
        <w:instrText xml:space="preserve"> IF </w:instrText>
      </w:r>
      <w:r w:rsidR="00CE5EE9">
        <w:fldChar w:fldCharType="begin"/>
      </w:r>
      <w:r w:rsidR="00CE5EE9">
        <w:instrText xml:space="preserve"> DOCPROPERTY "DM_emea_doc_ref_id"  \* MERGEFORMAT </w:instrText>
      </w:r>
      <w:r w:rsidR="00CE5EE9">
        <w:fldChar w:fldCharType="separate"/>
      </w:r>
      <w:r w:rsidR="004033E0">
        <w:instrText>EMA/154648/2016</w:instrText>
      </w:r>
      <w:r w:rsidR="00CE5EE9">
        <w:fldChar w:fldCharType="end"/>
      </w:r>
      <w:r w:rsidR="00761142" w:rsidRPr="00321A33">
        <w:rPr>
          <w:szCs w:val="15"/>
        </w:rPr>
        <w:instrText xml:space="preserve"> &lt;&gt; "Error*"</w:instrText>
      </w:r>
      <w:r w:rsidR="00CE5EE9">
        <w:fldChar w:fldCharType="begin"/>
      </w:r>
      <w:r w:rsidR="00CE5EE9">
        <w:instrText xml:space="preserve"> DOCPROPERTY "DM_emea_doc_ref_id"  \* MERGEFORMAT </w:instrText>
      </w:r>
      <w:r w:rsidR="00CE5EE9">
        <w:fldChar w:fldCharType="separate"/>
      </w:r>
      <w:r w:rsidR="004033E0">
        <w:instrText>EMA/154648/2016</w:instrText>
      </w:r>
      <w:r w:rsidR="00CE5EE9">
        <w:fldChar w:fldCharType="end"/>
      </w:r>
      <w:r w:rsidR="00761142" w:rsidRPr="00321A33">
        <w:rPr>
          <w:szCs w:val="15"/>
        </w:rPr>
        <w:instrText xml:space="preserve"> \* MERGEFORMAT </w:instrText>
      </w:r>
      <w:r w:rsidRPr="00321A33">
        <w:rPr>
          <w:szCs w:val="15"/>
        </w:rPr>
        <w:fldChar w:fldCharType="separate"/>
      </w:r>
      <w:r w:rsidR="004033E0">
        <w:rPr>
          <w:noProof/>
        </w:rPr>
        <w:t>EMA/154648/2016</w:t>
      </w:r>
      <w:r w:rsidRPr="00321A33">
        <w:rPr>
          <w:szCs w:val="15"/>
        </w:rPr>
        <w:fldChar w:fldCharType="end"/>
      </w:r>
    </w:p>
    <w:p w:rsidR="00AB70A0" w:rsidRDefault="00AB70A0">
      <w:pPr>
        <w:pStyle w:val="RefAgency"/>
        <w:tabs>
          <w:tab w:val="left" w:pos="1287"/>
        </w:tabs>
      </w:pPr>
      <w:r>
        <w:rPr>
          <w:szCs w:val="15"/>
        </w:rPr>
        <w:t>Inspections and Human Medicines Pharmacovigilance Division</w:t>
      </w:r>
      <w:r>
        <w:t xml:space="preserve"> </w:t>
      </w:r>
    </w:p>
    <w:p w:rsidR="00AB70A0" w:rsidRDefault="00AB70A0" w:rsidP="00AB70A0">
      <w:pPr>
        <w:pStyle w:val="DoctitleAgency"/>
      </w:pPr>
      <w:bookmarkStart w:id="1" w:name="DocTitle"/>
      <w:r>
        <w:t xml:space="preserve">Inclusion/exclusion criteria </w:t>
      </w:r>
      <w:bookmarkStart w:id="2" w:name="BodyBlank"/>
      <w:bookmarkEnd w:id="1"/>
      <w:bookmarkEnd w:id="2"/>
      <w:r>
        <w:t>for the “Important Medical Events” list</w:t>
      </w:r>
    </w:p>
    <w:p w:rsidR="00761142" w:rsidRDefault="00761142" w:rsidP="00102C49">
      <w:pPr>
        <w:pStyle w:val="No-numheading1Agency"/>
        <w:rPr>
          <w:rFonts w:cs="Verdana"/>
          <w:b w:val="0"/>
          <w:bCs w:val="0"/>
          <w:kern w:val="0"/>
          <w:sz w:val="24"/>
          <w:szCs w:val="24"/>
        </w:rPr>
      </w:pPr>
    </w:p>
    <w:p w:rsidR="00AB70A0" w:rsidRPr="004F3AB7" w:rsidRDefault="00AB70A0" w:rsidP="00AB70A0">
      <w:pPr>
        <w:pStyle w:val="No-numheading1Agency"/>
      </w:pPr>
      <w:r>
        <w:t>Introduction</w:t>
      </w:r>
    </w:p>
    <w:p w:rsidR="00AB70A0" w:rsidRDefault="00AB70A0" w:rsidP="00AB70A0">
      <w:pPr>
        <w:pStyle w:val="BodytextAgency"/>
        <w:rPr>
          <w:szCs w:val="24"/>
        </w:rPr>
      </w:pPr>
      <w:r w:rsidRPr="003B638C">
        <w:t>The EudraVigilance Expert Working Group (EV-EWG) has coordinated the development of an Important Medical Event Terms (IME) list. This IME list aims to facilitate the classification of suspected adverse reactions as well as aggregated data analysis and case assessment in the frame of the day</w:t>
      </w:r>
      <w:r>
        <w:t>-</w:t>
      </w:r>
      <w:r w:rsidRPr="003B638C">
        <w:t>to</w:t>
      </w:r>
      <w:r>
        <w:t>-</w:t>
      </w:r>
      <w:r w:rsidRPr="003B638C">
        <w:t>day pharmacovigilance activities of stakeholders in the E</w:t>
      </w:r>
      <w:r>
        <w:t xml:space="preserve">uropean </w:t>
      </w:r>
      <w:r w:rsidRPr="003B638C">
        <w:t>U</w:t>
      </w:r>
      <w:r>
        <w:t>nion</w:t>
      </w:r>
      <w:r w:rsidRPr="003B638C">
        <w:t>. The IME list is intended for guidance purposes only.</w:t>
      </w:r>
      <w:r>
        <w:rPr>
          <w:i/>
          <w:color w:val="3366FF"/>
        </w:rPr>
        <w:t xml:space="preserve"> </w:t>
      </w:r>
      <w:r>
        <w:rPr>
          <w:szCs w:val="24"/>
        </w:rPr>
        <w:t xml:space="preserve">Inclusion/exclusion criteria for the “Important Medical Events” (IME) list were developed during review of the current list for maintenance related to MedDRA Version 12.1.  They have been updated to the current version of MedDRA. The criteria – and the proposed additions and deletions to the </w:t>
      </w:r>
      <w:proofErr w:type="spellStart"/>
      <w:r>
        <w:rPr>
          <w:szCs w:val="24"/>
        </w:rPr>
        <w:t>upversioned</w:t>
      </w:r>
      <w:proofErr w:type="spellEnd"/>
      <w:r>
        <w:rPr>
          <w:szCs w:val="24"/>
        </w:rPr>
        <w:t xml:space="preserve"> list – were based on the official ICH definition of seriousness and of an “important medical event” as noted below:</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r w:rsidRPr="00632CD3">
        <w:t>A serious adverse event (experience) or reaction is</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proofErr w:type="gramStart"/>
      <w:r w:rsidRPr="00632CD3">
        <w:t>any</w:t>
      </w:r>
      <w:proofErr w:type="gramEnd"/>
      <w:r w:rsidRPr="00632CD3">
        <w:t xml:space="preserve"> untoward medical occurrence that at any dose:</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r w:rsidRPr="00632CD3">
        <w:t xml:space="preserve">* </w:t>
      </w:r>
      <w:proofErr w:type="gramStart"/>
      <w:r w:rsidRPr="00632CD3">
        <w:t>results</w:t>
      </w:r>
      <w:proofErr w:type="gramEnd"/>
      <w:r w:rsidRPr="00632CD3">
        <w:t xml:space="preserve"> in death,</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r w:rsidRPr="00632CD3">
        <w:t>* is life-threatening,</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r w:rsidRPr="00632CD3">
        <w:t>* requires inpatient hospitalisation or prolongation of existing hospitalisation,</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r w:rsidRPr="00632CD3">
        <w:t xml:space="preserve">* </w:t>
      </w:r>
      <w:proofErr w:type="gramStart"/>
      <w:r w:rsidRPr="00632CD3">
        <w:t>results</w:t>
      </w:r>
      <w:proofErr w:type="gramEnd"/>
      <w:r w:rsidRPr="00632CD3">
        <w:t xml:space="preserve"> in persistent or significant disability/incapacity, or</w:t>
      </w:r>
    </w:p>
    <w:p w:rsidR="00AB70A0" w:rsidRPr="008765F5"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rPr>
          <w:i/>
          <w:iCs/>
          <w:szCs w:val="24"/>
        </w:rPr>
      </w:pPr>
      <w:r w:rsidRPr="008765F5">
        <w:rPr>
          <w:iCs/>
          <w:szCs w:val="24"/>
        </w:rPr>
        <w:t>* is a congenital anomaly/birth defect.</w:t>
      </w:r>
      <w:r>
        <w:rPr>
          <w:iCs/>
          <w:szCs w:val="24"/>
        </w:rPr>
        <w:t xml:space="preserve">  </w:t>
      </w:r>
      <w:r w:rsidRPr="008765F5">
        <w:rPr>
          <w:i/>
          <w:iCs/>
          <w:szCs w:val="24"/>
        </w:rPr>
        <w:t>It is recommended that reconsideration of this criterion be made relative to inclusion of terms on the IME list</w:t>
      </w:r>
      <w:r>
        <w:rPr>
          <w:i/>
          <w:iCs/>
          <w:szCs w:val="24"/>
        </w:rPr>
        <w:t xml:space="preserve"> (see criterion 15)</w:t>
      </w:r>
      <w:r w:rsidRPr="008765F5">
        <w:rPr>
          <w:i/>
          <w:iCs/>
          <w:szCs w:val="24"/>
        </w:rPr>
        <w:t>.  Not all congenital anomalies have clinical consequence and can be considered even normal variants.</w:t>
      </w:r>
      <w:r>
        <w:rPr>
          <w:i/>
          <w:iCs/>
          <w:szCs w:val="24"/>
        </w:rPr>
        <w:t xml:space="preserve"> Furthermore, not all genetic conditions have </w:t>
      </w:r>
      <w:proofErr w:type="gramStart"/>
      <w:r>
        <w:rPr>
          <w:i/>
          <w:iCs/>
          <w:szCs w:val="24"/>
        </w:rPr>
        <w:t>a drug</w:t>
      </w:r>
      <w:proofErr w:type="gramEnd"/>
      <w:r>
        <w:rPr>
          <w:i/>
          <w:iCs/>
          <w:szCs w:val="24"/>
        </w:rPr>
        <w:t xml:space="preserve"> related aetiology. </w:t>
      </w:r>
    </w:p>
    <w:p w:rsidR="00AB70A0"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rPr>
          <w:i/>
          <w:szCs w:val="24"/>
        </w:rPr>
      </w:pPr>
      <w:r>
        <w:rPr>
          <w:i/>
          <w:iCs/>
          <w:szCs w:val="24"/>
        </w:rPr>
        <w:t xml:space="preserve">[NOTE: </w:t>
      </w:r>
      <w:r>
        <w:rPr>
          <w:i/>
          <w:szCs w:val="24"/>
        </w:rPr>
        <w:t>The term "life-threatening" in the definition of "serious" refers to an event in which the patient was at risk of death at the time of the event; it does not refer to an event which hypothetically might have caused death if it were more severe.</w:t>
      </w:r>
      <w:r>
        <w:rPr>
          <w:i/>
          <w:iCs/>
          <w:szCs w:val="24"/>
        </w:rPr>
        <w:t>]</w:t>
      </w:r>
    </w:p>
    <w:p w:rsidR="00AB70A0"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rPr>
          <w:szCs w:val="24"/>
        </w:rPr>
      </w:pPr>
      <w:r>
        <w:rPr>
          <w:szCs w:val="24"/>
        </w:rPr>
        <w:t>Medical and scientific judgment should be exercised in deciding whether</w:t>
      </w:r>
    </w:p>
    <w:p w:rsidR="00AB70A0" w:rsidRPr="00AD781A"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rPr>
          <w:szCs w:val="24"/>
        </w:rPr>
      </w:pPr>
      <w:proofErr w:type="gramStart"/>
      <w:r>
        <w:rPr>
          <w:szCs w:val="24"/>
        </w:rPr>
        <w:t>expedited</w:t>
      </w:r>
      <w:proofErr w:type="gramEnd"/>
      <w:r>
        <w:rPr>
          <w:szCs w:val="24"/>
        </w:rPr>
        <w:t xml:space="preserve"> reporting is appropriate in other situations, such </w:t>
      </w:r>
      <w:r w:rsidRPr="00AD781A">
        <w:rPr>
          <w:szCs w:val="24"/>
        </w:rPr>
        <w:t>as important</w:t>
      </w:r>
    </w:p>
    <w:p w:rsidR="00AB70A0" w:rsidRPr="00AD781A"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rPr>
          <w:szCs w:val="24"/>
        </w:rPr>
      </w:pPr>
      <w:proofErr w:type="gramStart"/>
      <w:r w:rsidRPr="00AD781A">
        <w:rPr>
          <w:szCs w:val="24"/>
        </w:rPr>
        <w:t>medical</w:t>
      </w:r>
      <w:proofErr w:type="gramEnd"/>
      <w:r w:rsidRPr="00AD781A">
        <w:rPr>
          <w:szCs w:val="24"/>
        </w:rPr>
        <w:t xml:space="preserve"> events that may not be immediately life-threatening or result in</w:t>
      </w:r>
    </w:p>
    <w:p w:rsidR="00AB70A0" w:rsidRPr="00AD781A"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rPr>
          <w:szCs w:val="24"/>
        </w:rPr>
      </w:pPr>
      <w:proofErr w:type="gramStart"/>
      <w:r w:rsidRPr="00AD781A">
        <w:rPr>
          <w:szCs w:val="24"/>
        </w:rPr>
        <w:t>death</w:t>
      </w:r>
      <w:proofErr w:type="gramEnd"/>
      <w:r w:rsidRPr="00AD781A">
        <w:rPr>
          <w:szCs w:val="24"/>
        </w:rPr>
        <w:t xml:space="preserve"> or hospitalisation but may jeopardize the patient or may require</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proofErr w:type="gramStart"/>
      <w:r w:rsidRPr="00632CD3">
        <w:t>intervention</w:t>
      </w:r>
      <w:proofErr w:type="gramEnd"/>
      <w:r w:rsidRPr="00632CD3">
        <w:t xml:space="preserve"> to prevent one of the other outcomes listed in the definition</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proofErr w:type="gramStart"/>
      <w:r w:rsidRPr="00632CD3">
        <w:t>above</w:t>
      </w:r>
      <w:proofErr w:type="gramEnd"/>
      <w:r w:rsidRPr="00632CD3">
        <w:t>. These should also usually be considered serious.</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r w:rsidRPr="00632CD3">
        <w:lastRenderedPageBreak/>
        <w:t>Examples of such events are intensive treatment in an emergency room</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proofErr w:type="gramStart"/>
      <w:r w:rsidRPr="00632CD3">
        <w:t>or</w:t>
      </w:r>
      <w:proofErr w:type="gramEnd"/>
      <w:r w:rsidRPr="00632CD3">
        <w:t xml:space="preserve"> at home for allergic bronchospasm; blood dyscrasias or convulsions</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proofErr w:type="gramStart"/>
      <w:r w:rsidRPr="00632CD3">
        <w:t>that</w:t>
      </w:r>
      <w:proofErr w:type="gramEnd"/>
      <w:r w:rsidRPr="00632CD3">
        <w:t xml:space="preserve"> do not result in hospitali</w:t>
      </w:r>
      <w:r>
        <w:t>s</w:t>
      </w:r>
      <w:r w:rsidRPr="00632CD3">
        <w:t>ation; or development of drug dependency</w:t>
      </w:r>
    </w:p>
    <w:p w:rsidR="00AB70A0" w:rsidRPr="00632CD3" w:rsidRDefault="00AB70A0" w:rsidP="00AB70A0">
      <w:pPr>
        <w:pStyle w:val="BodytextAgency"/>
        <w:pBdr>
          <w:top w:val="single" w:sz="4" w:space="1" w:color="auto"/>
          <w:left w:val="single" w:sz="4" w:space="4" w:color="auto"/>
          <w:bottom w:val="single" w:sz="4" w:space="1" w:color="auto"/>
          <w:right w:val="single" w:sz="4" w:space="4" w:color="auto"/>
        </w:pBdr>
        <w:spacing w:after="0"/>
        <w:jc w:val="center"/>
      </w:pPr>
      <w:proofErr w:type="gramStart"/>
      <w:r w:rsidRPr="00632CD3">
        <w:t>or</w:t>
      </w:r>
      <w:proofErr w:type="gramEnd"/>
      <w:r w:rsidRPr="00632CD3">
        <w:t xml:space="preserve"> drug abuse.</w:t>
      </w:r>
    </w:p>
    <w:p w:rsidR="00AB70A0" w:rsidRDefault="00AB70A0" w:rsidP="00AB70A0">
      <w:pPr>
        <w:pStyle w:val="BodytextAgency"/>
        <w:rPr>
          <w:szCs w:val="24"/>
        </w:rPr>
      </w:pPr>
    </w:p>
    <w:p w:rsidR="00AB70A0" w:rsidRDefault="00AB70A0" w:rsidP="00AB70A0">
      <w:pPr>
        <w:pStyle w:val="BodytextAgency"/>
        <w:rPr>
          <w:szCs w:val="24"/>
        </w:rPr>
      </w:pPr>
      <w:r>
        <w:rPr>
          <w:szCs w:val="24"/>
        </w:rPr>
        <w:t xml:space="preserve">NOTES: </w:t>
      </w:r>
    </w:p>
    <w:p w:rsidR="00AB70A0" w:rsidRDefault="00AB70A0" w:rsidP="00AB70A0">
      <w:pPr>
        <w:pStyle w:val="BodytextAgency"/>
        <w:numPr>
          <w:ilvl w:val="0"/>
          <w:numId w:val="13"/>
        </w:numPr>
        <w:rPr>
          <w:szCs w:val="24"/>
        </w:rPr>
      </w:pPr>
      <w:r w:rsidRPr="0060228D">
        <w:rPr>
          <w:szCs w:val="24"/>
        </w:rPr>
        <w:t>The overarching criterion for terms that should be included on the IME list is that the concept must fit the ICH definition of an IME. Use of the p</w:t>
      </w:r>
      <w:r w:rsidRPr="00757D9B">
        <w:rPr>
          <w:szCs w:val="24"/>
        </w:rPr>
        <w:t xml:space="preserve">hrase “Relevant forms of” and other such qualifiers in this document are meant to convey that not </w:t>
      </w:r>
      <w:r w:rsidRPr="00EF4EA0">
        <w:rPr>
          <w:i/>
          <w:szCs w:val="24"/>
        </w:rPr>
        <w:t>all</w:t>
      </w:r>
      <w:r w:rsidRPr="00EF4EA0">
        <w:rPr>
          <w:szCs w:val="24"/>
        </w:rPr>
        <w:t xml:space="preserve"> forms of a type of disorder will always fu</w:t>
      </w:r>
      <w:r>
        <w:rPr>
          <w:szCs w:val="24"/>
        </w:rPr>
        <w:t>lfil the definition of an IME.</w:t>
      </w:r>
    </w:p>
    <w:p w:rsidR="00AB70A0" w:rsidRPr="00EF4EA0" w:rsidRDefault="00AB70A0" w:rsidP="00AB70A0">
      <w:pPr>
        <w:pStyle w:val="BodytextAgency"/>
        <w:numPr>
          <w:ilvl w:val="0"/>
          <w:numId w:val="13"/>
        </w:numPr>
        <w:rPr>
          <w:szCs w:val="24"/>
        </w:rPr>
      </w:pPr>
      <w:r w:rsidRPr="0060228D">
        <w:rPr>
          <w:szCs w:val="24"/>
        </w:rPr>
        <w:t xml:space="preserve">The phrase </w:t>
      </w:r>
      <w:r w:rsidRPr="00757D9B">
        <w:rPr>
          <w:szCs w:val="24"/>
        </w:rPr>
        <w:t xml:space="preserve">“vital organ” is interpreted in the context of these criteria as meaning </w:t>
      </w:r>
      <w:r w:rsidRPr="00EF4EA0">
        <w:rPr>
          <w:szCs w:val="24"/>
        </w:rPr>
        <w:t>a</w:t>
      </w:r>
      <w:r w:rsidRPr="00EF4EA0">
        <w:rPr>
          <w:iCs/>
          <w:szCs w:val="24"/>
        </w:rPr>
        <w:t xml:space="preserve"> bodily organ that is essential for life</w:t>
      </w:r>
      <w:r w:rsidRPr="0060228D">
        <w:rPr>
          <w:iCs/>
          <w:szCs w:val="24"/>
        </w:rPr>
        <w:t>.</w:t>
      </w:r>
    </w:p>
    <w:p w:rsidR="00AB70A0" w:rsidRPr="00632CD3" w:rsidRDefault="00AB70A0" w:rsidP="00AB70A0">
      <w:pPr>
        <w:pStyle w:val="BodytextAgency"/>
        <w:rPr>
          <w:szCs w:val="24"/>
        </w:rPr>
      </w:pPr>
      <w:r>
        <w:rPr>
          <w:rFonts w:ascii="Times New Roman" w:hAnsi="Times New Roman" w:cs="Times New Roman"/>
          <w:sz w:val="32"/>
          <w:szCs w:val="32"/>
        </w:rPr>
        <w:t> </w:t>
      </w:r>
    </w:p>
    <w:p w:rsidR="00AB70A0" w:rsidRDefault="00AB70A0" w:rsidP="00AB70A0">
      <w:pPr>
        <w:pStyle w:val="No-numheading1Agency"/>
      </w:pPr>
      <w:r>
        <w:t>Criteria for MedDRA terms on the IME list:</w:t>
      </w:r>
    </w:p>
    <w:p w:rsidR="00AB70A0" w:rsidRPr="00F74FDD" w:rsidRDefault="00AB70A0" w:rsidP="00AB70A0">
      <w:pPr>
        <w:pStyle w:val="BodytextAgency"/>
      </w:pPr>
    </w:p>
    <w:p w:rsidR="00AB70A0" w:rsidRPr="003A61CA" w:rsidRDefault="00AB70A0" w:rsidP="00AB70A0">
      <w:pPr>
        <w:pStyle w:val="BodytextAgency"/>
      </w:pPr>
      <w:r>
        <w:rPr>
          <w:b/>
        </w:rPr>
        <w:t xml:space="preserve">1. </w:t>
      </w:r>
      <w:r w:rsidRPr="00BC7C2F">
        <w:rPr>
          <w:b/>
        </w:rPr>
        <w:t xml:space="preserve">Cardiovascular conditions </w:t>
      </w:r>
      <w:r w:rsidRPr="00C90203">
        <w:t>leading to impo</w:t>
      </w:r>
      <w:r>
        <w:t>rtant organ alterations</w:t>
      </w:r>
      <w:r w:rsidRPr="00C90203">
        <w:t>:</w:t>
      </w:r>
    </w:p>
    <w:p w:rsidR="00AB70A0" w:rsidRDefault="00AB70A0" w:rsidP="00AB70A0">
      <w:pPr>
        <w:pStyle w:val="BodytextAgency"/>
        <w:numPr>
          <w:ilvl w:val="0"/>
          <w:numId w:val="6"/>
        </w:numPr>
        <w:rPr>
          <w:szCs w:val="24"/>
        </w:rPr>
      </w:pPr>
      <w:r>
        <w:rPr>
          <w:szCs w:val="24"/>
        </w:rPr>
        <w:t xml:space="preserve">Relevant forms of </w:t>
      </w:r>
      <w:r w:rsidRPr="00BC7C2F">
        <w:rPr>
          <w:b/>
          <w:szCs w:val="24"/>
        </w:rPr>
        <w:t>embolism</w:t>
      </w:r>
      <w:r w:rsidRPr="00C90203">
        <w:rPr>
          <w:szCs w:val="24"/>
        </w:rPr>
        <w:t xml:space="preserve"> </w:t>
      </w:r>
    </w:p>
    <w:p w:rsidR="00AB70A0" w:rsidRPr="00C90203" w:rsidRDefault="00AB70A0" w:rsidP="00AB70A0">
      <w:pPr>
        <w:pStyle w:val="BodytextAgency"/>
        <w:numPr>
          <w:ilvl w:val="0"/>
          <w:numId w:val="6"/>
        </w:numPr>
        <w:rPr>
          <w:szCs w:val="24"/>
        </w:rPr>
      </w:pPr>
      <w:r>
        <w:rPr>
          <w:szCs w:val="24"/>
        </w:rPr>
        <w:t xml:space="preserve">Vascular </w:t>
      </w:r>
      <w:r w:rsidRPr="00BC7C2F">
        <w:rPr>
          <w:b/>
          <w:szCs w:val="24"/>
        </w:rPr>
        <w:t>aneurysms</w:t>
      </w:r>
      <w:r>
        <w:rPr>
          <w:szCs w:val="24"/>
        </w:rPr>
        <w:t xml:space="preserve">, </w:t>
      </w:r>
      <w:r w:rsidRPr="00BC7C2F">
        <w:rPr>
          <w:b/>
          <w:szCs w:val="24"/>
        </w:rPr>
        <w:t>dissection</w:t>
      </w:r>
      <w:r>
        <w:rPr>
          <w:szCs w:val="24"/>
        </w:rPr>
        <w:t xml:space="preserve"> and rupture of important vessels and heart cavities and structures</w:t>
      </w:r>
    </w:p>
    <w:p w:rsidR="00AB70A0" w:rsidRPr="00C90203" w:rsidRDefault="00AB70A0" w:rsidP="00AB70A0">
      <w:pPr>
        <w:pStyle w:val="BodytextAgency"/>
        <w:numPr>
          <w:ilvl w:val="0"/>
          <w:numId w:val="6"/>
        </w:numPr>
        <w:rPr>
          <w:szCs w:val="24"/>
        </w:rPr>
      </w:pPr>
      <w:r w:rsidRPr="00BC7C2F">
        <w:rPr>
          <w:b/>
          <w:szCs w:val="24"/>
        </w:rPr>
        <w:t>Arteriosclerosis</w:t>
      </w:r>
      <w:r w:rsidRPr="00C90203">
        <w:rPr>
          <w:szCs w:val="24"/>
        </w:rPr>
        <w:t xml:space="preserve"> </w:t>
      </w:r>
      <w:r>
        <w:rPr>
          <w:szCs w:val="24"/>
        </w:rPr>
        <w:t xml:space="preserve">in </w:t>
      </w:r>
      <w:r w:rsidRPr="00C90203">
        <w:rPr>
          <w:szCs w:val="24"/>
        </w:rPr>
        <w:t>vital organs</w:t>
      </w:r>
    </w:p>
    <w:p w:rsidR="00AB70A0" w:rsidRPr="00C90203" w:rsidRDefault="00AB70A0" w:rsidP="00AB70A0">
      <w:pPr>
        <w:pStyle w:val="BodytextAgency"/>
        <w:numPr>
          <w:ilvl w:val="0"/>
          <w:numId w:val="6"/>
        </w:numPr>
        <w:rPr>
          <w:szCs w:val="24"/>
        </w:rPr>
      </w:pPr>
      <w:r>
        <w:rPr>
          <w:szCs w:val="24"/>
        </w:rPr>
        <w:t xml:space="preserve">Relevant forms of </w:t>
      </w:r>
      <w:r w:rsidRPr="00BC7C2F">
        <w:rPr>
          <w:b/>
          <w:szCs w:val="24"/>
        </w:rPr>
        <w:t>gangrene</w:t>
      </w:r>
    </w:p>
    <w:p w:rsidR="00AB70A0" w:rsidRPr="00C90203" w:rsidRDefault="00AB70A0" w:rsidP="00AB70A0">
      <w:pPr>
        <w:pStyle w:val="BodytextAgency"/>
        <w:numPr>
          <w:ilvl w:val="0"/>
          <w:numId w:val="6"/>
        </w:numPr>
        <w:rPr>
          <w:szCs w:val="24"/>
        </w:rPr>
      </w:pPr>
      <w:r w:rsidRPr="00BC7C2F">
        <w:rPr>
          <w:b/>
          <w:szCs w:val="24"/>
        </w:rPr>
        <w:t>Isch</w:t>
      </w:r>
      <w:r>
        <w:rPr>
          <w:b/>
          <w:szCs w:val="24"/>
        </w:rPr>
        <w:t>a</w:t>
      </w:r>
      <w:r w:rsidRPr="00BC7C2F">
        <w:rPr>
          <w:b/>
          <w:szCs w:val="24"/>
        </w:rPr>
        <w:t>emic</w:t>
      </w:r>
      <w:r>
        <w:rPr>
          <w:szCs w:val="24"/>
        </w:rPr>
        <w:t xml:space="preserve"> conditions</w:t>
      </w:r>
    </w:p>
    <w:p w:rsidR="00AB70A0" w:rsidRPr="00C90203" w:rsidRDefault="00AB70A0" w:rsidP="00AB70A0">
      <w:pPr>
        <w:pStyle w:val="BodytextAgency"/>
        <w:numPr>
          <w:ilvl w:val="0"/>
          <w:numId w:val="6"/>
        </w:numPr>
        <w:rPr>
          <w:szCs w:val="24"/>
        </w:rPr>
      </w:pPr>
      <w:r>
        <w:rPr>
          <w:szCs w:val="24"/>
        </w:rPr>
        <w:t xml:space="preserve">Relevant forms of </w:t>
      </w:r>
      <w:r w:rsidRPr="00BC7C2F">
        <w:rPr>
          <w:b/>
          <w:szCs w:val="24"/>
        </w:rPr>
        <w:t>infarction</w:t>
      </w:r>
    </w:p>
    <w:p w:rsidR="00AB70A0" w:rsidRPr="00C90203" w:rsidRDefault="00AB70A0" w:rsidP="00AB70A0">
      <w:pPr>
        <w:pStyle w:val="BodytextAgency"/>
        <w:numPr>
          <w:ilvl w:val="0"/>
          <w:numId w:val="6"/>
        </w:numPr>
        <w:rPr>
          <w:szCs w:val="24"/>
        </w:rPr>
      </w:pPr>
      <w:r>
        <w:rPr>
          <w:szCs w:val="24"/>
        </w:rPr>
        <w:t xml:space="preserve">Relevant </w:t>
      </w:r>
      <w:r w:rsidRPr="00BC7C2F">
        <w:rPr>
          <w:b/>
          <w:szCs w:val="24"/>
        </w:rPr>
        <w:t>necrotic</w:t>
      </w:r>
      <w:r>
        <w:rPr>
          <w:szCs w:val="24"/>
        </w:rPr>
        <w:t xml:space="preserve"> conditions, including those that may not be clearly of vascular origin </w:t>
      </w:r>
      <w:r w:rsidRPr="00B92BA7">
        <w:rPr>
          <w:szCs w:val="24"/>
        </w:rPr>
        <w:t xml:space="preserve">(e.g., </w:t>
      </w:r>
      <w:r>
        <w:rPr>
          <w:szCs w:val="24"/>
        </w:rPr>
        <w:t xml:space="preserve">some </w:t>
      </w:r>
      <w:r w:rsidRPr="00B92BA7">
        <w:rPr>
          <w:szCs w:val="24"/>
        </w:rPr>
        <w:t xml:space="preserve">skin conditions </w:t>
      </w:r>
      <w:r>
        <w:rPr>
          <w:szCs w:val="24"/>
        </w:rPr>
        <w:t xml:space="preserve">such as PT </w:t>
      </w:r>
      <w:r w:rsidRPr="009F5DF9">
        <w:rPr>
          <w:i/>
          <w:szCs w:val="24"/>
        </w:rPr>
        <w:t>Toxic epidermal necrolysis</w:t>
      </w:r>
      <w:r w:rsidRPr="00B92BA7">
        <w:rPr>
          <w:szCs w:val="24"/>
        </w:rPr>
        <w:t>)</w:t>
      </w:r>
    </w:p>
    <w:p w:rsidR="00AB70A0" w:rsidRPr="00C90203" w:rsidRDefault="00AB70A0" w:rsidP="00AB70A0">
      <w:pPr>
        <w:pStyle w:val="BodytextAgency"/>
        <w:numPr>
          <w:ilvl w:val="0"/>
          <w:numId w:val="6"/>
        </w:numPr>
        <w:rPr>
          <w:szCs w:val="24"/>
        </w:rPr>
      </w:pPr>
      <w:r w:rsidRPr="00BC7C2F">
        <w:rPr>
          <w:b/>
          <w:szCs w:val="24"/>
        </w:rPr>
        <w:t>Vascular</w:t>
      </w:r>
      <w:r w:rsidRPr="00C90203">
        <w:rPr>
          <w:szCs w:val="24"/>
        </w:rPr>
        <w:t xml:space="preserve"> </w:t>
      </w:r>
      <w:r w:rsidRPr="00BC7C2F">
        <w:rPr>
          <w:b/>
          <w:szCs w:val="24"/>
        </w:rPr>
        <w:t>occlusions</w:t>
      </w:r>
      <w:r w:rsidRPr="00C90203">
        <w:rPr>
          <w:szCs w:val="24"/>
        </w:rPr>
        <w:t xml:space="preserve"> that threaten the function and viability of critical organs </w:t>
      </w:r>
    </w:p>
    <w:p w:rsidR="00AB70A0" w:rsidRDefault="00AB70A0" w:rsidP="00AB70A0">
      <w:pPr>
        <w:pStyle w:val="BodytextAgency"/>
        <w:numPr>
          <w:ilvl w:val="0"/>
          <w:numId w:val="6"/>
        </w:numPr>
        <w:rPr>
          <w:szCs w:val="24"/>
        </w:rPr>
      </w:pPr>
      <w:r w:rsidRPr="0010061F">
        <w:rPr>
          <w:szCs w:val="24"/>
        </w:rPr>
        <w:t xml:space="preserve">Arterial </w:t>
      </w:r>
      <w:r w:rsidRPr="00BC7C2F">
        <w:rPr>
          <w:b/>
          <w:szCs w:val="24"/>
        </w:rPr>
        <w:t>thromboses</w:t>
      </w:r>
      <w:r w:rsidRPr="0010061F">
        <w:rPr>
          <w:szCs w:val="24"/>
        </w:rPr>
        <w:t xml:space="preserve"> and other vascular thromboses where significant compromise of organ function or other significant consequences could result </w:t>
      </w:r>
    </w:p>
    <w:p w:rsidR="00AB70A0" w:rsidRDefault="00AB70A0" w:rsidP="00AB70A0">
      <w:pPr>
        <w:pStyle w:val="BodytextAgency"/>
        <w:numPr>
          <w:ilvl w:val="0"/>
          <w:numId w:val="6"/>
        </w:numPr>
        <w:rPr>
          <w:szCs w:val="24"/>
        </w:rPr>
      </w:pPr>
      <w:r>
        <w:rPr>
          <w:szCs w:val="24"/>
        </w:rPr>
        <w:t xml:space="preserve">Relevant terms for </w:t>
      </w:r>
      <w:r w:rsidRPr="00541D2D">
        <w:rPr>
          <w:b/>
          <w:szCs w:val="24"/>
        </w:rPr>
        <w:t>cardiac valve disorders</w:t>
      </w:r>
    </w:p>
    <w:p w:rsidR="00AB70A0" w:rsidRDefault="00AB70A0" w:rsidP="00AB70A0">
      <w:pPr>
        <w:pStyle w:val="BodytextAgency"/>
        <w:numPr>
          <w:ilvl w:val="0"/>
          <w:numId w:val="6"/>
        </w:numPr>
        <w:rPr>
          <w:szCs w:val="24"/>
        </w:rPr>
      </w:pPr>
      <w:r>
        <w:rPr>
          <w:szCs w:val="24"/>
        </w:rPr>
        <w:t xml:space="preserve">Relevant forms of </w:t>
      </w:r>
      <w:r w:rsidRPr="00541D2D">
        <w:rPr>
          <w:b/>
          <w:szCs w:val="24"/>
        </w:rPr>
        <w:t>cardiomyopathy</w:t>
      </w:r>
    </w:p>
    <w:p w:rsidR="00AB70A0" w:rsidRDefault="00AB70A0" w:rsidP="00AB70A0">
      <w:pPr>
        <w:pStyle w:val="BodytextAgency"/>
        <w:numPr>
          <w:ilvl w:val="0"/>
          <w:numId w:val="6"/>
        </w:numPr>
        <w:rPr>
          <w:szCs w:val="24"/>
        </w:rPr>
      </w:pPr>
      <w:r>
        <w:rPr>
          <w:szCs w:val="24"/>
        </w:rPr>
        <w:t xml:space="preserve">Relevant terms for cardiac </w:t>
      </w:r>
      <w:r w:rsidRPr="00541D2D">
        <w:rPr>
          <w:b/>
          <w:szCs w:val="24"/>
        </w:rPr>
        <w:t>arrhythmias</w:t>
      </w:r>
      <w:r>
        <w:rPr>
          <w:szCs w:val="24"/>
        </w:rPr>
        <w:t xml:space="preserve"> </w:t>
      </w:r>
      <w:proofErr w:type="gramStart"/>
      <w:r>
        <w:rPr>
          <w:szCs w:val="24"/>
        </w:rPr>
        <w:t>except</w:t>
      </w:r>
      <w:proofErr w:type="gramEnd"/>
      <w:r>
        <w:rPr>
          <w:szCs w:val="24"/>
        </w:rPr>
        <w:t xml:space="preserve"> trivial ones such as extrasystoles.</w:t>
      </w:r>
    </w:p>
    <w:p w:rsidR="00AB70A0" w:rsidRPr="00DF2DA5" w:rsidRDefault="00AB70A0" w:rsidP="00AB70A0">
      <w:pPr>
        <w:pStyle w:val="BodytextAgency"/>
        <w:rPr>
          <w:szCs w:val="24"/>
        </w:rPr>
      </w:pPr>
    </w:p>
    <w:p w:rsidR="00AB70A0" w:rsidRPr="003A61CA" w:rsidRDefault="00AB70A0" w:rsidP="00AB70A0">
      <w:pPr>
        <w:pStyle w:val="BodytextAgency"/>
      </w:pPr>
      <w:r w:rsidRPr="00837D38">
        <w:rPr>
          <w:b/>
        </w:rPr>
        <w:t>2.</w:t>
      </w:r>
      <w:r>
        <w:t xml:space="preserve"> </w:t>
      </w:r>
      <w:r w:rsidRPr="00086186">
        <w:rPr>
          <w:b/>
        </w:rPr>
        <w:t>H</w:t>
      </w:r>
      <w:r>
        <w:rPr>
          <w:b/>
        </w:rPr>
        <w:t>a</w:t>
      </w:r>
      <w:r w:rsidRPr="00086186">
        <w:rPr>
          <w:b/>
        </w:rPr>
        <w:t>emorrhages and significant blood disorders</w:t>
      </w:r>
      <w:r>
        <w:t xml:space="preserve"> including:</w:t>
      </w:r>
    </w:p>
    <w:p w:rsidR="00AB70A0" w:rsidRDefault="00AB70A0" w:rsidP="00AB70A0">
      <w:pPr>
        <w:pStyle w:val="BodytextAgency"/>
        <w:numPr>
          <w:ilvl w:val="0"/>
          <w:numId w:val="7"/>
        </w:numPr>
        <w:rPr>
          <w:szCs w:val="24"/>
        </w:rPr>
      </w:pPr>
      <w:r>
        <w:rPr>
          <w:szCs w:val="24"/>
        </w:rPr>
        <w:t>Relevant haemorrhages, e</w:t>
      </w:r>
      <w:r w:rsidRPr="00705345">
        <w:rPr>
          <w:szCs w:val="24"/>
        </w:rPr>
        <w:t>specially these related to an internal organ</w:t>
      </w:r>
    </w:p>
    <w:p w:rsidR="00AB70A0" w:rsidRPr="00B42882" w:rsidRDefault="00AB70A0" w:rsidP="00AB70A0">
      <w:pPr>
        <w:pStyle w:val="BodytextAgency"/>
        <w:numPr>
          <w:ilvl w:val="0"/>
          <w:numId w:val="7"/>
        </w:numPr>
        <w:rPr>
          <w:szCs w:val="24"/>
        </w:rPr>
      </w:pPr>
      <w:r>
        <w:rPr>
          <w:szCs w:val="24"/>
        </w:rPr>
        <w:lastRenderedPageBreak/>
        <w:t xml:space="preserve">Haematomas in </w:t>
      </w:r>
      <w:r w:rsidRPr="008B6728">
        <w:rPr>
          <w:szCs w:val="24"/>
        </w:rPr>
        <w:t xml:space="preserve">anatomic sites where </w:t>
      </w:r>
      <w:r>
        <w:rPr>
          <w:szCs w:val="24"/>
        </w:rPr>
        <w:t xml:space="preserve">there may be a severe </w:t>
      </w:r>
      <w:r w:rsidRPr="008B6728">
        <w:rPr>
          <w:szCs w:val="24"/>
        </w:rPr>
        <w:t xml:space="preserve">clinical consequence </w:t>
      </w:r>
      <w:r>
        <w:rPr>
          <w:szCs w:val="24"/>
        </w:rPr>
        <w:t xml:space="preserve">(e.g., PT </w:t>
      </w:r>
      <w:r w:rsidRPr="009F5DF9">
        <w:rPr>
          <w:i/>
          <w:szCs w:val="24"/>
        </w:rPr>
        <w:t>Extradural haematoma</w:t>
      </w:r>
      <w:r>
        <w:rPr>
          <w:szCs w:val="24"/>
        </w:rPr>
        <w:t>)</w:t>
      </w:r>
    </w:p>
    <w:p w:rsidR="00AB70A0" w:rsidRDefault="00AB70A0" w:rsidP="00AB70A0">
      <w:pPr>
        <w:pStyle w:val="BodytextAgency"/>
        <w:numPr>
          <w:ilvl w:val="0"/>
          <w:numId w:val="7"/>
        </w:numPr>
        <w:rPr>
          <w:szCs w:val="24"/>
        </w:rPr>
      </w:pPr>
      <w:r w:rsidRPr="00705345">
        <w:rPr>
          <w:szCs w:val="24"/>
        </w:rPr>
        <w:t>Bone marrow depressions and cytopenias</w:t>
      </w:r>
    </w:p>
    <w:p w:rsidR="00AB70A0" w:rsidRDefault="00AB70A0" w:rsidP="00AB70A0">
      <w:pPr>
        <w:pStyle w:val="BodytextAgency"/>
        <w:numPr>
          <w:ilvl w:val="0"/>
          <w:numId w:val="7"/>
        </w:numPr>
        <w:rPr>
          <w:szCs w:val="24"/>
        </w:rPr>
      </w:pPr>
      <w:bookmarkStart w:id="3" w:name="OLE_LINK2"/>
      <w:r>
        <w:rPr>
          <w:szCs w:val="24"/>
        </w:rPr>
        <w:t xml:space="preserve">Acquired </w:t>
      </w:r>
      <w:proofErr w:type="spellStart"/>
      <w:r>
        <w:rPr>
          <w:szCs w:val="24"/>
        </w:rPr>
        <w:t>haemoglobinopathies</w:t>
      </w:r>
      <w:proofErr w:type="spellEnd"/>
      <w:r>
        <w:rPr>
          <w:szCs w:val="24"/>
        </w:rPr>
        <w:t xml:space="preserve">, acquired </w:t>
      </w:r>
      <w:proofErr w:type="spellStart"/>
      <w:r>
        <w:rPr>
          <w:szCs w:val="24"/>
        </w:rPr>
        <w:t>ha</w:t>
      </w:r>
      <w:r w:rsidRPr="00705345">
        <w:rPr>
          <w:szCs w:val="24"/>
        </w:rPr>
        <w:t>emophilias</w:t>
      </w:r>
      <w:proofErr w:type="spellEnd"/>
      <w:r w:rsidRPr="00705345">
        <w:rPr>
          <w:szCs w:val="24"/>
        </w:rPr>
        <w:t xml:space="preserve"> and other forms of </w:t>
      </w:r>
      <w:r>
        <w:rPr>
          <w:szCs w:val="24"/>
        </w:rPr>
        <w:t xml:space="preserve">non-hereditary  </w:t>
      </w:r>
      <w:r w:rsidRPr="00705345">
        <w:rPr>
          <w:szCs w:val="24"/>
        </w:rPr>
        <w:t>clotting factor deficiencies and coagulation disorders</w:t>
      </w:r>
      <w:r>
        <w:rPr>
          <w:szCs w:val="24"/>
        </w:rPr>
        <w:t>, including</w:t>
      </w:r>
      <w:r w:rsidRPr="00705345">
        <w:rPr>
          <w:szCs w:val="24"/>
        </w:rPr>
        <w:t xml:space="preserve"> nonspecific factor deficiencies and related findings</w:t>
      </w:r>
    </w:p>
    <w:bookmarkEnd w:id="3"/>
    <w:p w:rsidR="00AB70A0" w:rsidRPr="008539B3" w:rsidRDefault="00AB70A0" w:rsidP="00AB70A0">
      <w:pPr>
        <w:pStyle w:val="BodytextAgency"/>
        <w:numPr>
          <w:ilvl w:val="0"/>
          <w:numId w:val="7"/>
        </w:numPr>
        <w:rPr>
          <w:szCs w:val="24"/>
        </w:rPr>
      </w:pPr>
      <w:r>
        <w:rPr>
          <w:szCs w:val="24"/>
        </w:rPr>
        <w:t>Relevant</w:t>
      </w:r>
      <w:r w:rsidRPr="00B42882">
        <w:rPr>
          <w:szCs w:val="24"/>
        </w:rPr>
        <w:t xml:space="preserve"> forms of h</w:t>
      </w:r>
      <w:r>
        <w:rPr>
          <w:szCs w:val="24"/>
        </w:rPr>
        <w:t>a</w:t>
      </w:r>
      <w:r w:rsidRPr="00B42882">
        <w:rPr>
          <w:szCs w:val="24"/>
        </w:rPr>
        <w:t>emolysis</w:t>
      </w:r>
      <w:r>
        <w:rPr>
          <w:szCs w:val="24"/>
        </w:rPr>
        <w:t>.</w:t>
      </w:r>
      <w:r w:rsidRPr="00B42882">
        <w:rPr>
          <w:szCs w:val="24"/>
        </w:rPr>
        <w:t xml:space="preserve"> </w:t>
      </w:r>
    </w:p>
    <w:p w:rsidR="00AB70A0" w:rsidRDefault="00AB70A0" w:rsidP="00AB70A0">
      <w:pPr>
        <w:pStyle w:val="BodytextAgency"/>
      </w:pPr>
      <w:r>
        <w:rPr>
          <w:b/>
        </w:rPr>
        <w:t xml:space="preserve">3. </w:t>
      </w:r>
      <w:r w:rsidRPr="00813939">
        <w:rPr>
          <w:b/>
        </w:rPr>
        <w:t>Obstructions</w:t>
      </w:r>
      <w:r w:rsidRPr="00813939">
        <w:t xml:space="preserve"> of gastrointestinal</w:t>
      </w:r>
      <w:r>
        <w:t xml:space="preserve">, respiratory, hepatobiliary, </w:t>
      </w:r>
      <w:r w:rsidRPr="007D7BB6">
        <w:t>genitourinary tracts</w:t>
      </w:r>
      <w:r>
        <w:t xml:space="preserve">, and </w:t>
      </w:r>
      <w:r w:rsidRPr="007D7BB6">
        <w:t xml:space="preserve">ductal systems of </w:t>
      </w:r>
      <w:r w:rsidRPr="00D4442A">
        <w:t>vital</w:t>
      </w:r>
      <w:r>
        <w:t xml:space="preserve"> </w:t>
      </w:r>
      <w:r w:rsidRPr="007D7BB6">
        <w:t>organs</w:t>
      </w:r>
      <w:r>
        <w:t>.</w:t>
      </w:r>
    </w:p>
    <w:p w:rsidR="00AB70A0" w:rsidRPr="007D7BB6" w:rsidRDefault="00AB70A0" w:rsidP="00AB70A0">
      <w:pPr>
        <w:pStyle w:val="BodytextAgency"/>
      </w:pPr>
    </w:p>
    <w:p w:rsidR="00AB70A0" w:rsidRDefault="00AB70A0" w:rsidP="00AB70A0">
      <w:pPr>
        <w:pStyle w:val="BodytextAgency"/>
      </w:pPr>
      <w:r>
        <w:rPr>
          <w:b/>
        </w:rPr>
        <w:t xml:space="preserve">4. </w:t>
      </w:r>
      <w:r w:rsidRPr="001E2FCF">
        <w:rPr>
          <w:b/>
        </w:rPr>
        <w:t>Perforation</w:t>
      </w:r>
      <w:r>
        <w:rPr>
          <w:b/>
        </w:rPr>
        <w:t>s</w:t>
      </w:r>
      <w:r w:rsidRPr="007D7BB6">
        <w:t xml:space="preserve"> </w:t>
      </w:r>
      <w:r>
        <w:rPr>
          <w:b/>
          <w:bCs/>
          <w:szCs w:val="24"/>
        </w:rPr>
        <w:t xml:space="preserve">and </w:t>
      </w:r>
      <w:r w:rsidRPr="00B42882">
        <w:rPr>
          <w:b/>
          <w:bCs/>
          <w:szCs w:val="24"/>
        </w:rPr>
        <w:t xml:space="preserve">ruptures </w:t>
      </w:r>
      <w:r w:rsidRPr="007D7BB6">
        <w:t>of gastrointestinal, respiratory, hepatobiliary</w:t>
      </w:r>
      <w:r>
        <w:t xml:space="preserve"> and </w:t>
      </w:r>
      <w:r w:rsidRPr="007D7BB6">
        <w:t>genitourinary tracts</w:t>
      </w:r>
      <w:r>
        <w:t>.</w:t>
      </w:r>
    </w:p>
    <w:p w:rsidR="00AB70A0" w:rsidRDefault="00AB70A0" w:rsidP="00AB70A0">
      <w:pPr>
        <w:pStyle w:val="BodytextAgency"/>
      </w:pPr>
    </w:p>
    <w:p w:rsidR="00AB70A0" w:rsidRDefault="00AB70A0" w:rsidP="00AB70A0">
      <w:pPr>
        <w:pStyle w:val="BodytextAgency"/>
        <w:rPr>
          <w:b/>
        </w:rPr>
      </w:pPr>
      <w:r>
        <w:rPr>
          <w:b/>
        </w:rPr>
        <w:t>5. Relevant types of u</w:t>
      </w:r>
      <w:r w:rsidRPr="00813939">
        <w:rPr>
          <w:b/>
        </w:rPr>
        <w:t>lcers</w:t>
      </w:r>
    </w:p>
    <w:p w:rsidR="00AB70A0" w:rsidRPr="00632CD3" w:rsidRDefault="00AB70A0" w:rsidP="00AB70A0">
      <w:pPr>
        <w:pStyle w:val="BodytextAgency"/>
        <w:rPr>
          <w:i/>
        </w:rPr>
      </w:pPr>
    </w:p>
    <w:p w:rsidR="00AB70A0" w:rsidRPr="00D615B1" w:rsidRDefault="00AB70A0" w:rsidP="00AB70A0">
      <w:pPr>
        <w:numPr>
          <w:ilvl w:val="0"/>
          <w:numId w:val="14"/>
        </w:numPr>
        <w:pBdr>
          <w:top w:val="single" w:sz="4" w:space="1" w:color="auto"/>
          <w:left w:val="single" w:sz="4" w:space="4" w:color="auto"/>
          <w:bottom w:val="single" w:sz="4" w:space="1" w:color="auto"/>
          <w:right w:val="single" w:sz="4" w:space="4" w:color="auto"/>
        </w:pBdr>
        <w:shd w:val="clear" w:color="auto" w:fill="C6D9F1"/>
      </w:pPr>
      <w:r w:rsidRPr="00D615B1">
        <w:t xml:space="preserve">Ulcers occurring at less significant anatomic sites such as PT </w:t>
      </w:r>
      <w:r w:rsidRPr="00D615B1">
        <w:rPr>
          <w:i/>
        </w:rPr>
        <w:t>Mouth ulceration</w:t>
      </w:r>
      <w:r w:rsidRPr="00D615B1">
        <w:t xml:space="preserve"> </w:t>
      </w:r>
      <w:r w:rsidRPr="00D615B1">
        <w:rPr>
          <w:b/>
        </w:rPr>
        <w:t>are excluded</w:t>
      </w:r>
      <w:r>
        <w:rPr>
          <w:b/>
        </w:rPr>
        <w:t>.</w:t>
      </w:r>
    </w:p>
    <w:p w:rsidR="00AB70A0" w:rsidRDefault="00AB70A0" w:rsidP="00AB70A0">
      <w:pPr>
        <w:pStyle w:val="BodytextAgency"/>
      </w:pPr>
    </w:p>
    <w:p w:rsidR="00AB70A0" w:rsidRDefault="00AB70A0" w:rsidP="00AB70A0">
      <w:pPr>
        <w:pStyle w:val="BodytextAgency"/>
      </w:pPr>
      <w:r>
        <w:rPr>
          <w:b/>
        </w:rPr>
        <w:t xml:space="preserve">6. </w:t>
      </w:r>
      <w:r w:rsidRPr="009A663D">
        <w:rPr>
          <w:b/>
        </w:rPr>
        <w:t xml:space="preserve">Fistulas </w:t>
      </w:r>
      <w:r w:rsidRPr="00E81BE4">
        <w:t>between organs or structures where significant compromise of organ function</w:t>
      </w:r>
      <w:r>
        <w:t xml:space="preserve"> and </w:t>
      </w:r>
      <w:r w:rsidRPr="00E81BE4">
        <w:t>other significant consequences (e.g., h</w:t>
      </w:r>
      <w:r>
        <w:t>a</w:t>
      </w:r>
      <w:r w:rsidRPr="00E81BE4">
        <w:t xml:space="preserve">emorrhage) could result (e.g., PT </w:t>
      </w:r>
      <w:proofErr w:type="spellStart"/>
      <w:r w:rsidRPr="009F5DF9">
        <w:rPr>
          <w:i/>
        </w:rPr>
        <w:t>Aorto</w:t>
      </w:r>
      <w:proofErr w:type="spellEnd"/>
      <w:r w:rsidRPr="009F5DF9">
        <w:rPr>
          <w:i/>
        </w:rPr>
        <w:t>-oesophageal fistula</w:t>
      </w:r>
      <w:r w:rsidRPr="00E81BE4">
        <w:t>)</w:t>
      </w:r>
      <w:r>
        <w:t>.</w:t>
      </w:r>
    </w:p>
    <w:p w:rsidR="00AB70A0" w:rsidRDefault="00AB70A0" w:rsidP="00AB70A0">
      <w:pPr>
        <w:pStyle w:val="BodytextAgency"/>
      </w:pPr>
    </w:p>
    <w:p w:rsidR="00AB70A0" w:rsidRDefault="00AB70A0" w:rsidP="00AB70A0">
      <w:pPr>
        <w:pStyle w:val="BodytextAgency"/>
      </w:pPr>
      <w:r>
        <w:rPr>
          <w:b/>
        </w:rPr>
        <w:t>7. F</w:t>
      </w:r>
      <w:r w:rsidRPr="0069247C">
        <w:rPr>
          <w:b/>
        </w:rPr>
        <w:t>ailure</w:t>
      </w:r>
      <w:r>
        <w:rPr>
          <w:b/>
        </w:rPr>
        <w:t xml:space="preserve"> and severe </w:t>
      </w:r>
      <w:r w:rsidRPr="0069247C">
        <w:rPr>
          <w:b/>
        </w:rPr>
        <w:t xml:space="preserve">insufficiency </w:t>
      </w:r>
      <w:r w:rsidRPr="003A3418">
        <w:t>of life-sustaining organ systems</w:t>
      </w:r>
      <w:r>
        <w:t xml:space="preserve"> (e.g., PT </w:t>
      </w:r>
      <w:r w:rsidRPr="009F5DF9">
        <w:rPr>
          <w:i/>
        </w:rPr>
        <w:t>Cardiac failure</w:t>
      </w:r>
      <w:r>
        <w:t xml:space="preserve">, PT </w:t>
      </w:r>
      <w:r w:rsidRPr="009F5DF9">
        <w:rPr>
          <w:i/>
        </w:rPr>
        <w:t>Renal failure</w:t>
      </w:r>
      <w:r>
        <w:rPr>
          <w:i/>
        </w:rPr>
        <w:t>, PT Hepatic failure</w:t>
      </w:r>
      <w:r>
        <w:t>).</w:t>
      </w:r>
    </w:p>
    <w:p w:rsidR="00AB70A0" w:rsidRPr="003A6634" w:rsidRDefault="00AB70A0" w:rsidP="00AB70A0">
      <w:pPr>
        <w:pStyle w:val="BodytextAgency"/>
        <w:rPr>
          <w:color w:val="FF0000"/>
        </w:rPr>
      </w:pPr>
    </w:p>
    <w:p w:rsidR="00AB70A0" w:rsidRDefault="00AB70A0" w:rsidP="00AB70A0">
      <w:pPr>
        <w:pStyle w:val="BodytextAgency"/>
      </w:pPr>
      <w:r w:rsidRPr="00837D38">
        <w:rPr>
          <w:b/>
        </w:rPr>
        <w:t>8.</w:t>
      </w:r>
      <w:r>
        <w:t xml:space="preserve">  Relevant conditions affecting consciousness, cognition, mood, sensorimotor functions and other important neurological or </w:t>
      </w:r>
      <w:r w:rsidRPr="003B638C">
        <w:t>neuro-psychological function impairments</w:t>
      </w:r>
      <w:r>
        <w:t xml:space="preserve">, including: </w:t>
      </w:r>
    </w:p>
    <w:p w:rsidR="00AB70A0" w:rsidRPr="003B638C" w:rsidRDefault="00AB70A0" w:rsidP="00AB70A0">
      <w:pPr>
        <w:pStyle w:val="BodytextAgency"/>
      </w:pPr>
    </w:p>
    <w:p w:rsidR="00AB70A0" w:rsidRPr="003A61CA" w:rsidRDefault="00AB70A0" w:rsidP="00AB70A0">
      <w:pPr>
        <w:pStyle w:val="BodytextAgency"/>
        <w:numPr>
          <w:ilvl w:val="0"/>
          <w:numId w:val="8"/>
        </w:numPr>
        <w:rPr>
          <w:szCs w:val="24"/>
        </w:rPr>
      </w:pPr>
      <w:r>
        <w:t>Coma</w:t>
      </w:r>
    </w:p>
    <w:p w:rsidR="00AB70A0" w:rsidRDefault="00AB70A0" w:rsidP="00AB70A0">
      <w:pPr>
        <w:pStyle w:val="BodytextAgency"/>
        <w:numPr>
          <w:ilvl w:val="0"/>
          <w:numId w:val="8"/>
        </w:numPr>
      </w:pPr>
      <w:r>
        <w:t>Dementia</w:t>
      </w:r>
    </w:p>
    <w:p w:rsidR="00AB70A0" w:rsidRDefault="00AB70A0" w:rsidP="00AB70A0">
      <w:pPr>
        <w:pStyle w:val="BodytextAgency"/>
        <w:numPr>
          <w:ilvl w:val="0"/>
          <w:numId w:val="8"/>
        </w:numPr>
      </w:pPr>
      <w:r>
        <w:t>Seizures</w:t>
      </w:r>
    </w:p>
    <w:p w:rsidR="00AB70A0" w:rsidRDefault="00AB70A0" w:rsidP="00AB70A0">
      <w:pPr>
        <w:pStyle w:val="BodytextAgency"/>
        <w:numPr>
          <w:ilvl w:val="0"/>
          <w:numId w:val="8"/>
        </w:numPr>
      </w:pPr>
      <w:r>
        <w:t>Encephalopathy</w:t>
      </w:r>
    </w:p>
    <w:p w:rsidR="00AB70A0" w:rsidRDefault="00AB70A0" w:rsidP="00AB70A0">
      <w:pPr>
        <w:pStyle w:val="BodytextAgency"/>
        <w:numPr>
          <w:ilvl w:val="0"/>
          <w:numId w:val="8"/>
        </w:numPr>
      </w:pPr>
      <w:r>
        <w:t>Neuropathies including peripheral neuropathies</w:t>
      </w:r>
    </w:p>
    <w:p w:rsidR="00AB70A0" w:rsidRDefault="00AB70A0" w:rsidP="00AB70A0">
      <w:pPr>
        <w:pStyle w:val="BodytextAgency"/>
        <w:numPr>
          <w:ilvl w:val="0"/>
          <w:numId w:val="8"/>
        </w:numPr>
      </w:pPr>
      <w:r>
        <w:t>Depression and psychosis and their prominent symptoms (e.g., delusions), including autism.</w:t>
      </w:r>
    </w:p>
    <w:p w:rsidR="00AB70A0" w:rsidRDefault="00AB70A0" w:rsidP="00AB70A0">
      <w:pPr>
        <w:pStyle w:val="BodytextAgency"/>
      </w:pPr>
    </w:p>
    <w:p w:rsidR="00AB70A0" w:rsidRPr="00BC7C2F" w:rsidRDefault="00AB70A0" w:rsidP="00AB70A0">
      <w:pPr>
        <w:pStyle w:val="BodytextAgency"/>
      </w:pPr>
      <w:r>
        <w:rPr>
          <w:b/>
        </w:rPr>
        <w:t xml:space="preserve">9. </w:t>
      </w:r>
      <w:r w:rsidRPr="00BC7C2F">
        <w:rPr>
          <w:b/>
        </w:rPr>
        <w:t xml:space="preserve">Failure of special senses </w:t>
      </w:r>
      <w:r w:rsidRPr="00BC7C2F">
        <w:t xml:space="preserve">(e.g., </w:t>
      </w:r>
      <w:r>
        <w:t xml:space="preserve">PT </w:t>
      </w:r>
      <w:r w:rsidRPr="009F5DF9">
        <w:rPr>
          <w:i/>
        </w:rPr>
        <w:t>Deafness</w:t>
      </w:r>
      <w:r w:rsidRPr="00BC7C2F">
        <w:t xml:space="preserve">, </w:t>
      </w:r>
      <w:r>
        <w:t xml:space="preserve">PT </w:t>
      </w:r>
      <w:r w:rsidRPr="009F5DF9">
        <w:rPr>
          <w:i/>
        </w:rPr>
        <w:t>Blindness</w:t>
      </w:r>
      <w:r w:rsidRPr="00BC7C2F">
        <w:t xml:space="preserve">) and </w:t>
      </w:r>
      <w:r>
        <w:t xml:space="preserve">relevant forms of </w:t>
      </w:r>
      <w:r w:rsidRPr="00BC7C2F">
        <w:t>eye disorders such as retinopathies, glaucoma</w:t>
      </w:r>
      <w:r>
        <w:t>, keratitis,</w:t>
      </w:r>
      <w:r w:rsidRPr="00BC7C2F">
        <w:t xml:space="preserve"> </w:t>
      </w:r>
      <w:r>
        <w:t>and</w:t>
      </w:r>
      <w:r w:rsidRPr="00BC7C2F">
        <w:t xml:space="preserve"> cataracts</w:t>
      </w:r>
      <w:r>
        <w:t>.</w:t>
      </w:r>
    </w:p>
    <w:p w:rsidR="00AB70A0" w:rsidRPr="00BC7C2F" w:rsidRDefault="00AB70A0" w:rsidP="00AB70A0">
      <w:pPr>
        <w:pStyle w:val="BodytextAgency"/>
      </w:pPr>
    </w:p>
    <w:p w:rsidR="00AB70A0" w:rsidRDefault="00AB70A0" w:rsidP="00AB70A0">
      <w:pPr>
        <w:pStyle w:val="BodytextAgency"/>
      </w:pPr>
      <w:r>
        <w:rPr>
          <w:b/>
        </w:rPr>
        <w:lastRenderedPageBreak/>
        <w:t xml:space="preserve"> 10. </w:t>
      </w:r>
      <w:r w:rsidRPr="007A498E">
        <w:rPr>
          <w:b/>
        </w:rPr>
        <w:t>Infections</w:t>
      </w:r>
      <w:r w:rsidRPr="007A498E">
        <w:t xml:space="preserve"> </w:t>
      </w:r>
      <w:r>
        <w:t xml:space="preserve">that </w:t>
      </w:r>
      <w:r w:rsidRPr="007A498E">
        <w:t>fulfil the definition of an IME</w:t>
      </w:r>
      <w:r>
        <w:rPr>
          <w:lang w:val="es-ES"/>
        </w:rPr>
        <w:t xml:space="preserve">, </w:t>
      </w:r>
      <w:proofErr w:type="spellStart"/>
      <w:r>
        <w:rPr>
          <w:lang w:val="es-ES"/>
        </w:rPr>
        <w:t>such</w:t>
      </w:r>
      <w:proofErr w:type="spellEnd"/>
      <w:r>
        <w:rPr>
          <w:lang w:val="es-ES"/>
        </w:rPr>
        <w:t xml:space="preserve"> as</w:t>
      </w:r>
      <w:r>
        <w:t xml:space="preserve"> encephalitis, infective endocarditis, pneumonias, and hepatitis</w:t>
      </w:r>
    </w:p>
    <w:p w:rsidR="00AB70A0" w:rsidRDefault="00AB70A0" w:rsidP="00AB70A0">
      <w:pPr>
        <w:pStyle w:val="BodytextAgency"/>
        <w:numPr>
          <w:ilvl w:val="0"/>
          <w:numId w:val="9"/>
        </w:numPr>
      </w:pPr>
      <w:r>
        <w:t>Relevant</w:t>
      </w:r>
      <w:r w:rsidRPr="006865B2">
        <w:t xml:space="preserve"> </w:t>
      </w:r>
      <w:r>
        <w:t xml:space="preserve">forms of </w:t>
      </w:r>
      <w:r w:rsidRPr="006865B2">
        <w:t>bacter</w:t>
      </w:r>
      <w:r>
        <w:t>a</w:t>
      </w:r>
      <w:r w:rsidRPr="006865B2">
        <w:t xml:space="preserve">emia, </w:t>
      </w:r>
      <w:proofErr w:type="spellStart"/>
      <w:r w:rsidRPr="006865B2">
        <w:t>fung</w:t>
      </w:r>
      <w:r>
        <w:t>a</w:t>
      </w:r>
      <w:r w:rsidRPr="006865B2">
        <w:t>emia</w:t>
      </w:r>
      <w:proofErr w:type="spellEnd"/>
      <w:r w:rsidRPr="006865B2">
        <w:t>, sepsis/septic</w:t>
      </w:r>
      <w:r>
        <w:t>a</w:t>
      </w:r>
      <w:r w:rsidRPr="006865B2">
        <w:t>emia, and tox</w:t>
      </w:r>
      <w:r>
        <w:t>a</w:t>
      </w:r>
      <w:r w:rsidRPr="006865B2">
        <w:t xml:space="preserve">emia </w:t>
      </w:r>
      <w:r>
        <w:t>conditions</w:t>
      </w:r>
    </w:p>
    <w:p w:rsidR="00AB70A0" w:rsidRDefault="00AB70A0" w:rsidP="00AB70A0">
      <w:pPr>
        <w:pStyle w:val="BodytextAgency"/>
        <w:numPr>
          <w:ilvl w:val="0"/>
          <w:numId w:val="9"/>
        </w:numPr>
      </w:pPr>
      <w:r>
        <w:t>Abscesses and cellulitis of clinical significance or affecting vital organs</w:t>
      </w:r>
    </w:p>
    <w:p w:rsidR="00AB70A0" w:rsidRDefault="00AB70A0" w:rsidP="00AB70A0">
      <w:pPr>
        <w:pStyle w:val="BodytextAgency"/>
        <w:numPr>
          <w:ilvl w:val="0"/>
          <w:numId w:val="9"/>
        </w:numPr>
        <w:pBdr>
          <w:top w:val="single" w:sz="4" w:space="1" w:color="auto"/>
          <w:left w:val="single" w:sz="4" w:space="4" w:color="auto"/>
          <w:bottom w:val="single" w:sz="4" w:space="1" w:color="auto"/>
          <w:right w:val="single" w:sz="4" w:space="4" w:color="auto"/>
        </w:pBdr>
        <w:shd w:val="clear" w:color="auto" w:fill="C6D9F1"/>
      </w:pPr>
      <w:r w:rsidRPr="000114B5">
        <w:t xml:space="preserve">Terms that represent modes of infection transmission (e.g., PT </w:t>
      </w:r>
      <w:r w:rsidRPr="009F5DF9">
        <w:rPr>
          <w:i/>
        </w:rPr>
        <w:t>Indirect infection transmission</w:t>
      </w:r>
      <w:r w:rsidRPr="000114B5">
        <w:t xml:space="preserve">) </w:t>
      </w:r>
      <w:r w:rsidRPr="0082424C">
        <w:rPr>
          <w:b/>
        </w:rPr>
        <w:t>are excluded</w:t>
      </w:r>
      <w:r>
        <w:t xml:space="preserve">, </w:t>
      </w:r>
      <w:r w:rsidRPr="000114B5">
        <w:t>as these are not events but a disease mechanism</w:t>
      </w:r>
      <w:r>
        <w:t xml:space="preserve">. However, PT </w:t>
      </w:r>
      <w:r w:rsidRPr="00EF4EA0">
        <w:rPr>
          <w:i/>
        </w:rPr>
        <w:t xml:space="preserve">Transmission of an infectious agent via product </w:t>
      </w:r>
      <w:r>
        <w:t xml:space="preserve">and PT </w:t>
      </w:r>
      <w:r w:rsidRPr="00EF4EA0">
        <w:rPr>
          <w:i/>
        </w:rPr>
        <w:t>Suspected transmission of an infectious agent via product</w:t>
      </w:r>
      <w:r>
        <w:t xml:space="preserve"> are exceptions to this criterion and </w:t>
      </w:r>
      <w:r w:rsidRPr="00EF4EA0">
        <w:rPr>
          <w:b/>
        </w:rPr>
        <w:t>are included</w:t>
      </w:r>
      <w:r>
        <w:t xml:space="preserve"> because these are important concepts requiring expedited reporting. </w:t>
      </w:r>
    </w:p>
    <w:p w:rsidR="00AB70A0" w:rsidRDefault="00AB70A0" w:rsidP="00AB70A0">
      <w:pPr>
        <w:pStyle w:val="BodytextAgency"/>
      </w:pPr>
    </w:p>
    <w:p w:rsidR="00AB70A0" w:rsidRDefault="00AB70A0" w:rsidP="00AB70A0">
      <w:pPr>
        <w:pStyle w:val="BodytextAgency"/>
      </w:pPr>
      <w:r>
        <w:rPr>
          <w:b/>
        </w:rPr>
        <w:t xml:space="preserve"> 11. </w:t>
      </w:r>
      <w:r w:rsidRPr="007A498E">
        <w:rPr>
          <w:b/>
        </w:rPr>
        <w:t>Inflammatory processes</w:t>
      </w:r>
      <w:r>
        <w:t xml:space="preserve"> </w:t>
      </w:r>
      <w:r w:rsidRPr="007A498E">
        <w:t>which fulfil the definition of an IME</w:t>
      </w:r>
      <w:r w:rsidRPr="007A498E">
        <w:rPr>
          <w:lang w:val="es-ES"/>
        </w:rPr>
        <w:t xml:space="preserve">, </w:t>
      </w:r>
      <w:proofErr w:type="spellStart"/>
      <w:r w:rsidRPr="007A498E">
        <w:rPr>
          <w:lang w:val="es-ES"/>
        </w:rPr>
        <w:t>such</w:t>
      </w:r>
      <w:proofErr w:type="spellEnd"/>
      <w:r w:rsidRPr="007A498E">
        <w:rPr>
          <w:lang w:val="es-ES"/>
        </w:rPr>
        <w:t xml:space="preserve"> as</w:t>
      </w:r>
      <w:r>
        <w:t xml:space="preserve"> aseptic encephalitis, non-infective pericarditis, and polyarthritis</w:t>
      </w:r>
    </w:p>
    <w:p w:rsidR="00AB70A0" w:rsidRDefault="00AB70A0" w:rsidP="00AB70A0">
      <w:pPr>
        <w:pStyle w:val="BodytextAgency"/>
        <w:numPr>
          <w:ilvl w:val="0"/>
          <w:numId w:val="10"/>
        </w:numPr>
        <w:pBdr>
          <w:top w:val="single" w:sz="4" w:space="1" w:color="auto"/>
          <w:left w:val="single" w:sz="4" w:space="4" w:color="auto"/>
          <w:bottom w:val="single" w:sz="4" w:space="1" w:color="auto"/>
          <w:right w:val="single" w:sz="4" w:space="4" w:color="auto"/>
        </w:pBdr>
        <w:shd w:val="clear" w:color="auto" w:fill="C6D9F1"/>
      </w:pPr>
      <w:r>
        <w:t xml:space="preserve">Unqualified (e.g., PT </w:t>
      </w:r>
      <w:r w:rsidRPr="009F5DF9">
        <w:rPr>
          <w:i/>
        </w:rPr>
        <w:t>Cystitis</w:t>
      </w:r>
      <w:r>
        <w:t xml:space="preserve">, PT </w:t>
      </w:r>
      <w:r w:rsidRPr="009F5DF9">
        <w:rPr>
          <w:i/>
        </w:rPr>
        <w:t>Rhinitis</w:t>
      </w:r>
      <w:r>
        <w:t xml:space="preserve">) and </w:t>
      </w:r>
      <w:r w:rsidRPr="00D518F7">
        <w:t>nonspecific inflammation</w:t>
      </w:r>
      <w:r>
        <w:t>s</w:t>
      </w:r>
      <w:r w:rsidRPr="00D518F7">
        <w:t xml:space="preserve"> (e.g., PT</w:t>
      </w:r>
      <w:r>
        <w:t xml:space="preserve"> </w:t>
      </w:r>
      <w:r w:rsidRPr="009F5DF9">
        <w:rPr>
          <w:i/>
        </w:rPr>
        <w:t>Connective tissue inflammation</w:t>
      </w:r>
      <w:r>
        <w:t xml:space="preserve"> of </w:t>
      </w:r>
      <w:r w:rsidRPr="00203BF6">
        <w:rPr>
          <w:b/>
        </w:rPr>
        <w:t>non-vital</w:t>
      </w:r>
      <w:r>
        <w:t xml:space="preserve"> </w:t>
      </w:r>
      <w:r w:rsidRPr="001B5470">
        <w:rPr>
          <w:b/>
        </w:rPr>
        <w:t>organs</w:t>
      </w:r>
      <w:r>
        <w:t xml:space="preserve"> and tissues, </w:t>
      </w:r>
      <w:r w:rsidRPr="007A498E">
        <w:rPr>
          <w:b/>
        </w:rPr>
        <w:t>are excluded</w:t>
      </w:r>
      <w:r>
        <w:t>.</w:t>
      </w:r>
    </w:p>
    <w:p w:rsidR="00AB70A0" w:rsidRDefault="00AB70A0" w:rsidP="00AB70A0">
      <w:pPr>
        <w:pStyle w:val="BodytextAgency"/>
      </w:pPr>
    </w:p>
    <w:p w:rsidR="00AB70A0" w:rsidRDefault="00AB70A0" w:rsidP="00AB70A0">
      <w:pPr>
        <w:pStyle w:val="BodytextAgency"/>
      </w:pPr>
      <w:r>
        <w:rPr>
          <w:b/>
        </w:rPr>
        <w:t xml:space="preserve"> 12. </w:t>
      </w:r>
      <w:r w:rsidRPr="00EE5147">
        <w:rPr>
          <w:b/>
        </w:rPr>
        <w:t>Immune disorders</w:t>
      </w:r>
      <w:r>
        <w:t xml:space="preserve"> </w:t>
      </w:r>
      <w:r w:rsidRPr="007A498E">
        <w:t>which fulfil the definition of an IME</w:t>
      </w:r>
      <w:r>
        <w:t>, such as immunodeficiency syndromes, autoimmune disorders, anaphylaxis and severe forms of a</w:t>
      </w:r>
      <w:r w:rsidRPr="004739AE">
        <w:t xml:space="preserve">ngioedema and </w:t>
      </w:r>
      <w:r>
        <w:t>urticaria.</w:t>
      </w:r>
    </w:p>
    <w:p w:rsidR="00AB70A0" w:rsidRDefault="00AB70A0" w:rsidP="00AB70A0">
      <w:pPr>
        <w:pStyle w:val="BodytextAgency"/>
      </w:pPr>
    </w:p>
    <w:p w:rsidR="00AB70A0" w:rsidRDefault="00AB70A0" w:rsidP="00AB70A0">
      <w:pPr>
        <w:pStyle w:val="BodytextAgency"/>
      </w:pPr>
      <w:r>
        <w:rPr>
          <w:b/>
        </w:rPr>
        <w:t xml:space="preserve"> 13. </w:t>
      </w:r>
      <w:r w:rsidRPr="00AD368F">
        <w:rPr>
          <w:b/>
        </w:rPr>
        <w:t>Malignant and occupying</w:t>
      </w:r>
      <w:r>
        <w:t xml:space="preserve"> processes:</w:t>
      </w:r>
    </w:p>
    <w:p w:rsidR="00AB70A0" w:rsidRDefault="00AB70A0" w:rsidP="00AB70A0">
      <w:pPr>
        <w:pStyle w:val="BodytextAgency"/>
        <w:numPr>
          <w:ilvl w:val="0"/>
          <w:numId w:val="10"/>
        </w:numPr>
      </w:pPr>
      <w:r>
        <w:t>A</w:t>
      </w:r>
      <w:r w:rsidRPr="004C17C4">
        <w:t>ll malignant neoplasms, including metastatic conditions</w:t>
      </w:r>
    </w:p>
    <w:p w:rsidR="00AB70A0" w:rsidRDefault="00AB70A0" w:rsidP="00AB70A0">
      <w:pPr>
        <w:pStyle w:val="BodytextAgency"/>
        <w:numPr>
          <w:ilvl w:val="0"/>
          <w:numId w:val="10"/>
        </w:numPr>
      </w:pPr>
      <w:r>
        <w:t>A</w:t>
      </w:r>
      <w:r w:rsidRPr="004C17C4">
        <w:t xml:space="preserve">ll </w:t>
      </w:r>
      <w:r>
        <w:t xml:space="preserve">histological </w:t>
      </w:r>
      <w:proofErr w:type="spellStart"/>
      <w:r w:rsidRPr="004C17C4">
        <w:t>dysplasia</w:t>
      </w:r>
      <w:r>
        <w:t>s</w:t>
      </w:r>
      <w:proofErr w:type="spellEnd"/>
      <w:r w:rsidRPr="004C17C4">
        <w:t xml:space="preserve"> </w:t>
      </w:r>
      <w:r>
        <w:t xml:space="preserve">and </w:t>
      </w:r>
      <w:r w:rsidRPr="004C17C4">
        <w:t xml:space="preserve">premalignant conditions with a high likelihood of progression to malignancy (e.g., PT </w:t>
      </w:r>
      <w:r w:rsidRPr="009F5DF9">
        <w:rPr>
          <w:i/>
        </w:rPr>
        <w:t xml:space="preserve">Myeloproliferative </w:t>
      </w:r>
      <w:r w:rsidR="00102C49">
        <w:rPr>
          <w:i/>
        </w:rPr>
        <w:t>neoplasm</w:t>
      </w:r>
      <w:r w:rsidRPr="004C17C4">
        <w:t>)</w:t>
      </w:r>
    </w:p>
    <w:p w:rsidR="00AB70A0" w:rsidRDefault="00AB70A0" w:rsidP="00AB70A0">
      <w:pPr>
        <w:pStyle w:val="BodytextAgency"/>
        <w:numPr>
          <w:ilvl w:val="0"/>
          <w:numId w:val="10"/>
        </w:numPr>
      </w:pPr>
      <w:r>
        <w:t xml:space="preserve">Benign tumours of clinical significance due to space-occupying effects, or causing </w:t>
      </w:r>
      <w:r w:rsidRPr="004406B1">
        <w:t>increased intracranial pressure, focal deficits, seizures, etc.</w:t>
      </w:r>
      <w:r>
        <w:t xml:space="preserve">; also, cardiac </w:t>
      </w:r>
      <w:proofErr w:type="spellStart"/>
      <w:r>
        <w:t>myxomas</w:t>
      </w:r>
      <w:proofErr w:type="spellEnd"/>
      <w:r>
        <w:t xml:space="preserve">, </w:t>
      </w:r>
      <w:proofErr w:type="spellStart"/>
      <w:r>
        <w:t>etc</w:t>
      </w:r>
      <w:proofErr w:type="spellEnd"/>
    </w:p>
    <w:p w:rsidR="00AB70A0" w:rsidRDefault="00AB70A0" w:rsidP="00AB70A0">
      <w:pPr>
        <w:pStyle w:val="BodytextAgency"/>
        <w:numPr>
          <w:ilvl w:val="0"/>
          <w:numId w:val="10"/>
        </w:numPr>
        <w:pBdr>
          <w:top w:val="single" w:sz="4" w:space="1" w:color="auto"/>
          <w:left w:val="single" w:sz="4" w:space="4" w:color="auto"/>
          <w:bottom w:val="single" w:sz="4" w:space="1" w:color="auto"/>
          <w:right w:val="single" w:sz="4" w:space="4" w:color="auto"/>
        </w:pBdr>
        <w:shd w:val="clear" w:color="auto" w:fill="C6D9F1"/>
      </w:pPr>
      <w:r>
        <w:t>C</w:t>
      </w:r>
      <w:r w:rsidRPr="005F15AD">
        <w:t>ysts</w:t>
      </w:r>
      <w:r>
        <w:t xml:space="preserve"> and polyps (</w:t>
      </w:r>
      <w:r w:rsidRPr="005F15AD">
        <w:t>unless qualified as malignant</w:t>
      </w:r>
      <w:r>
        <w:t>), benign and unspecified neoplasms and n</w:t>
      </w:r>
      <w:r w:rsidRPr="005F15AD">
        <w:t xml:space="preserve">eoplasms in remission (e.g., PT </w:t>
      </w:r>
      <w:r w:rsidRPr="009F5DF9">
        <w:rPr>
          <w:i/>
        </w:rPr>
        <w:t>Acute leukaemia in remission</w:t>
      </w:r>
      <w:r w:rsidRPr="005F15AD">
        <w:t>)</w:t>
      </w:r>
      <w:r>
        <w:t xml:space="preserve">, </w:t>
      </w:r>
      <w:r w:rsidRPr="00EE5147">
        <w:rPr>
          <w:b/>
        </w:rPr>
        <w:t>are excluded</w:t>
      </w:r>
      <w:r>
        <w:t>.</w:t>
      </w:r>
    </w:p>
    <w:p w:rsidR="00AB70A0" w:rsidRDefault="00AB70A0" w:rsidP="00AB70A0">
      <w:pPr>
        <w:pStyle w:val="BodytextAgency"/>
      </w:pPr>
    </w:p>
    <w:p w:rsidR="00AB70A0" w:rsidRDefault="00AB70A0" w:rsidP="00AB70A0">
      <w:pPr>
        <w:pStyle w:val="BodytextAgency"/>
      </w:pPr>
      <w:r>
        <w:rPr>
          <w:b/>
        </w:rPr>
        <w:t xml:space="preserve"> 14. </w:t>
      </w:r>
      <w:r w:rsidRPr="001E52A2">
        <w:rPr>
          <w:b/>
        </w:rPr>
        <w:t>Injures and traumatic conditions</w:t>
      </w:r>
      <w:r>
        <w:t xml:space="preserve"> fulfilling IME criteria, including:</w:t>
      </w:r>
    </w:p>
    <w:p w:rsidR="00AB70A0" w:rsidRDefault="00AB70A0" w:rsidP="00AB70A0">
      <w:pPr>
        <w:pStyle w:val="BodytextAgency"/>
        <w:numPr>
          <w:ilvl w:val="0"/>
          <w:numId w:val="11"/>
        </w:numPr>
      </w:pPr>
      <w:r w:rsidRPr="008C0B31">
        <w:t xml:space="preserve">Terms for most types of fractures except trivial ones (e.g., PT </w:t>
      </w:r>
      <w:r w:rsidRPr="009F5DF9">
        <w:rPr>
          <w:i/>
        </w:rPr>
        <w:t>Greenstick fracture</w:t>
      </w:r>
      <w:r w:rsidRPr="008C0B31">
        <w:t>)</w:t>
      </w:r>
    </w:p>
    <w:p w:rsidR="00AB70A0" w:rsidRDefault="00AB70A0" w:rsidP="00AB70A0">
      <w:pPr>
        <w:pStyle w:val="BodytextAgency"/>
        <w:numPr>
          <w:ilvl w:val="0"/>
          <w:numId w:val="11"/>
        </w:numPr>
      </w:pPr>
      <w:r w:rsidRPr="008C0B31">
        <w:t>Most nerve injury terms, particularly of specific nerves</w:t>
      </w:r>
    </w:p>
    <w:p w:rsidR="00AB70A0" w:rsidRDefault="00AB70A0" w:rsidP="00AB70A0">
      <w:pPr>
        <w:pStyle w:val="BodytextAgency"/>
        <w:numPr>
          <w:ilvl w:val="0"/>
          <w:numId w:val="11"/>
        </w:numPr>
        <w:pBdr>
          <w:top w:val="single" w:sz="4" w:space="1" w:color="auto"/>
          <w:left w:val="single" w:sz="4" w:space="4" w:color="auto"/>
          <w:bottom w:val="single" w:sz="4" w:space="1" w:color="auto"/>
          <w:right w:val="single" w:sz="4" w:space="4" w:color="auto"/>
        </w:pBdr>
        <w:shd w:val="clear" w:color="auto" w:fill="C6D9F1"/>
      </w:pPr>
      <w:r w:rsidRPr="008C0B31">
        <w:t xml:space="preserve">Nonspecific “complication” terms (e.g., PT </w:t>
      </w:r>
      <w:r w:rsidRPr="009F5DF9">
        <w:rPr>
          <w:i/>
        </w:rPr>
        <w:t>Vascular access complication</w:t>
      </w:r>
      <w:r w:rsidRPr="008C0B31">
        <w:t xml:space="preserve">) </w:t>
      </w:r>
      <w:r w:rsidRPr="00FC39DC">
        <w:rPr>
          <w:b/>
        </w:rPr>
        <w:t>are excluded</w:t>
      </w:r>
      <w:r>
        <w:t xml:space="preserve">, </w:t>
      </w:r>
      <w:r w:rsidRPr="008C0B31">
        <w:t xml:space="preserve">unless </w:t>
      </w:r>
      <w:r>
        <w:t xml:space="preserve">they </w:t>
      </w:r>
      <w:r w:rsidRPr="008C0B31">
        <w:t>impl</w:t>
      </w:r>
      <w:r>
        <w:t>y</w:t>
      </w:r>
      <w:r w:rsidRPr="008C0B31">
        <w:t xml:space="preserve"> that a vital organ or structure is threatened</w:t>
      </w:r>
      <w:r>
        <w:t>.</w:t>
      </w:r>
    </w:p>
    <w:p w:rsidR="00AB70A0" w:rsidRDefault="00AB70A0" w:rsidP="00AB70A0">
      <w:pPr>
        <w:pStyle w:val="BodytextAgency"/>
      </w:pPr>
    </w:p>
    <w:p w:rsidR="00AB70A0" w:rsidRDefault="00AB70A0" w:rsidP="00AB70A0">
      <w:pPr>
        <w:pStyle w:val="BodytextAgency"/>
      </w:pPr>
      <w:r w:rsidRPr="00837D38">
        <w:rPr>
          <w:b/>
        </w:rPr>
        <w:t>15.</w:t>
      </w:r>
      <w:r>
        <w:t xml:space="preserve"> </w:t>
      </w:r>
      <w:r w:rsidRPr="005A1170">
        <w:t xml:space="preserve">Because the ICH definition of seriousness includes “congenital anomaly or birth defect”, most </w:t>
      </w:r>
      <w:r>
        <w:t xml:space="preserve">terms in SOC </w:t>
      </w:r>
      <w:r w:rsidRPr="00C1070D">
        <w:rPr>
          <w:i/>
        </w:rPr>
        <w:t>Congenital, familial and genetic disorders</w:t>
      </w:r>
      <w:r w:rsidRPr="007C0381">
        <w:rPr>
          <w:b/>
          <w:i/>
        </w:rPr>
        <w:t xml:space="preserve"> </w:t>
      </w:r>
      <w:r>
        <w:t xml:space="preserve">are included </w:t>
      </w:r>
    </w:p>
    <w:p w:rsidR="00AB70A0" w:rsidRDefault="00AB70A0" w:rsidP="00AB70A0">
      <w:pPr>
        <w:pStyle w:val="BodytextAgency"/>
        <w:numPr>
          <w:ilvl w:val="0"/>
          <w:numId w:val="12"/>
        </w:numPr>
        <w:pBdr>
          <w:top w:val="single" w:sz="4" w:space="1" w:color="auto"/>
          <w:left w:val="single" w:sz="4" w:space="4" w:color="auto"/>
          <w:bottom w:val="single" w:sz="4" w:space="1" w:color="auto"/>
          <w:right w:val="single" w:sz="4" w:space="4" w:color="auto"/>
        </w:pBdr>
        <w:shd w:val="clear" w:color="auto" w:fill="C6D9F1"/>
      </w:pPr>
      <w:r w:rsidRPr="007C0381">
        <w:lastRenderedPageBreak/>
        <w:t xml:space="preserve">However </w:t>
      </w:r>
      <w:r>
        <w:t xml:space="preserve">trivial conditions and </w:t>
      </w:r>
      <w:r w:rsidRPr="005A1170">
        <w:t xml:space="preserve">normal variants </w:t>
      </w:r>
      <w:r w:rsidRPr="007C0381">
        <w:rPr>
          <w:b/>
        </w:rPr>
        <w:t xml:space="preserve">are excluded </w:t>
      </w:r>
      <w:r w:rsidRPr="005A1170">
        <w:t xml:space="preserve">(e.g., PT </w:t>
      </w:r>
      <w:r w:rsidRPr="009F5DF9">
        <w:rPr>
          <w:i/>
        </w:rPr>
        <w:t>Birth mark</w:t>
      </w:r>
      <w:r w:rsidRPr="005A1170">
        <w:t xml:space="preserve">, PT </w:t>
      </w:r>
      <w:r w:rsidRPr="009F5DF9">
        <w:rPr>
          <w:i/>
        </w:rPr>
        <w:t>Accessory spleen</w:t>
      </w:r>
      <w:r w:rsidRPr="005A1170">
        <w:t xml:space="preserve">, PT </w:t>
      </w:r>
      <w:r w:rsidRPr="009F5DF9">
        <w:rPr>
          <w:i/>
        </w:rPr>
        <w:t>Persistent left superior vena cava</w:t>
      </w:r>
      <w:r w:rsidRPr="005A1170">
        <w:t>)</w:t>
      </w:r>
      <w:r>
        <w:t>. G</w:t>
      </w:r>
      <w:r w:rsidRPr="004F0977">
        <w:t>ene carrier state</w:t>
      </w:r>
      <w:r>
        <w:t>s</w:t>
      </w:r>
      <w:r w:rsidRPr="004F0977">
        <w:t xml:space="preserve"> (e.g., PT </w:t>
      </w:r>
      <w:r w:rsidRPr="009F5DF9">
        <w:rPr>
          <w:i/>
        </w:rPr>
        <w:t>Cystic fibrosis carrier</w:t>
      </w:r>
      <w:r w:rsidRPr="004F0977">
        <w:t>) in which the affected patient is disease free</w:t>
      </w:r>
      <w:r>
        <w:t xml:space="preserve"> </w:t>
      </w:r>
      <w:r w:rsidRPr="007C0381">
        <w:rPr>
          <w:b/>
        </w:rPr>
        <w:t>are also excluded</w:t>
      </w:r>
      <w:r>
        <w:t>.</w:t>
      </w:r>
    </w:p>
    <w:p w:rsidR="00AB70A0" w:rsidRDefault="00AB70A0" w:rsidP="00AB70A0">
      <w:pPr>
        <w:pStyle w:val="BodytextAgency"/>
        <w:numPr>
          <w:ilvl w:val="0"/>
          <w:numId w:val="12"/>
        </w:numPr>
        <w:pBdr>
          <w:top w:val="single" w:sz="4" w:space="1" w:color="auto"/>
          <w:left w:val="single" w:sz="4" w:space="4" w:color="auto"/>
          <w:bottom w:val="single" w:sz="4" w:space="1" w:color="auto"/>
          <w:right w:val="single" w:sz="4" w:space="4" w:color="auto"/>
        </w:pBdr>
        <w:shd w:val="clear" w:color="auto" w:fill="C6D9F1"/>
      </w:pPr>
      <w:r>
        <w:t>Genetic conditions that do not have a drug-related aetiology are excluded:</w:t>
      </w:r>
    </w:p>
    <w:p w:rsidR="00AB70A0" w:rsidRDefault="00AB70A0" w:rsidP="00AB70A0">
      <w:pPr>
        <w:pStyle w:val="BodytextAgency"/>
        <w:numPr>
          <w:ilvl w:val="1"/>
          <w:numId w:val="12"/>
        </w:numPr>
        <w:pBdr>
          <w:top w:val="single" w:sz="4" w:space="1" w:color="auto"/>
          <w:left w:val="single" w:sz="4" w:space="4" w:color="auto"/>
          <w:bottom w:val="single" w:sz="4" w:space="1" w:color="auto"/>
          <w:right w:val="single" w:sz="4" w:space="4" w:color="auto"/>
        </w:pBdr>
        <w:shd w:val="clear" w:color="auto" w:fill="C6D9F1"/>
      </w:pPr>
      <w:r>
        <w:t>Heritable genetic disorders , e.g., haemophilia, thalassaemia, Huntington’s disease</w:t>
      </w:r>
    </w:p>
    <w:p w:rsidR="00AB70A0" w:rsidRDefault="00AB70A0" w:rsidP="00AB70A0">
      <w:pPr>
        <w:pStyle w:val="BodytextAgency"/>
        <w:numPr>
          <w:ilvl w:val="1"/>
          <w:numId w:val="12"/>
        </w:numPr>
        <w:pBdr>
          <w:top w:val="single" w:sz="4" w:space="1" w:color="auto"/>
          <w:left w:val="single" w:sz="4" w:space="4" w:color="auto"/>
          <w:bottom w:val="single" w:sz="4" w:space="1" w:color="auto"/>
          <w:right w:val="single" w:sz="4" w:space="4" w:color="auto"/>
        </w:pBdr>
        <w:shd w:val="clear" w:color="auto" w:fill="C6D9F1"/>
      </w:pPr>
      <w:r>
        <w:t>Chromosomal abnormalities, e.g., Trisomy 21, Turner’s syndrome</w:t>
      </w:r>
    </w:p>
    <w:p w:rsidR="00AB70A0" w:rsidRDefault="00AB70A0" w:rsidP="00AB70A0">
      <w:pPr>
        <w:pStyle w:val="BodytextAgency"/>
        <w:numPr>
          <w:ilvl w:val="1"/>
          <w:numId w:val="12"/>
        </w:numPr>
        <w:pBdr>
          <w:top w:val="single" w:sz="4" w:space="1" w:color="auto"/>
          <w:left w:val="single" w:sz="4" w:space="4" w:color="auto"/>
          <w:bottom w:val="single" w:sz="4" w:space="1" w:color="auto"/>
          <w:right w:val="single" w:sz="4" w:space="4" w:color="auto"/>
        </w:pBdr>
        <w:shd w:val="clear" w:color="auto" w:fill="C6D9F1"/>
      </w:pPr>
      <w:r>
        <w:t xml:space="preserve">Mitochondrial diseases, e.g., MELAS syndrome, Kearns-Sayre syndrome. </w:t>
      </w:r>
    </w:p>
    <w:p w:rsidR="00AB70A0" w:rsidRDefault="00AB70A0" w:rsidP="00AB70A0">
      <w:pPr>
        <w:pStyle w:val="BodytextAgency"/>
      </w:pPr>
    </w:p>
    <w:p w:rsidR="00AB70A0" w:rsidRDefault="00AB70A0" w:rsidP="00AB70A0">
      <w:pPr>
        <w:pStyle w:val="BodytextAgency"/>
      </w:pPr>
      <w:r>
        <w:rPr>
          <w:b/>
        </w:rPr>
        <w:t xml:space="preserve">16. </w:t>
      </w:r>
      <w:r w:rsidRPr="001D60DA">
        <w:rPr>
          <w:b/>
        </w:rPr>
        <w:t>Miscellane</w:t>
      </w:r>
      <w:r>
        <w:rPr>
          <w:b/>
        </w:rPr>
        <w:t>ous</w:t>
      </w:r>
    </w:p>
    <w:p w:rsidR="00AB70A0" w:rsidRDefault="00AB70A0" w:rsidP="00AB70A0">
      <w:pPr>
        <w:pStyle w:val="BodytextAgency"/>
        <w:numPr>
          <w:ilvl w:val="0"/>
          <w:numId w:val="12"/>
        </w:numPr>
      </w:pPr>
      <w:r>
        <w:t xml:space="preserve">Investigation concepts </w:t>
      </w:r>
      <w:r w:rsidRPr="00515EC0">
        <w:t xml:space="preserve">that represent </w:t>
      </w:r>
      <w:r w:rsidRPr="00093AAD">
        <w:rPr>
          <w:b/>
        </w:rPr>
        <w:t>measured parameters</w:t>
      </w:r>
      <w:r w:rsidRPr="00515EC0">
        <w:t xml:space="preserve"> that do not need additional contextual information to fulfil the criteria for an IME  </w:t>
      </w:r>
    </w:p>
    <w:p w:rsidR="00AB70A0" w:rsidRDefault="00AB70A0" w:rsidP="00AB70A0">
      <w:pPr>
        <w:pStyle w:val="BodytextAgency"/>
        <w:numPr>
          <w:ilvl w:val="1"/>
          <w:numId w:val="12"/>
        </w:numPr>
      </w:pPr>
      <w:r w:rsidRPr="00515EC0">
        <w:t xml:space="preserve">Most </w:t>
      </w:r>
      <w:r>
        <w:rPr>
          <w:b/>
        </w:rPr>
        <w:t>cerebrospinal f</w:t>
      </w:r>
      <w:r w:rsidRPr="009B02F2">
        <w:rPr>
          <w:b/>
        </w:rPr>
        <w:t>luid (CSF</w:t>
      </w:r>
      <w:r>
        <w:rPr>
          <w:b/>
        </w:rPr>
        <w:t>)</w:t>
      </w:r>
      <w:r w:rsidRPr="00093AAD">
        <w:rPr>
          <w:b/>
        </w:rPr>
        <w:t xml:space="preserve"> test terms</w:t>
      </w:r>
      <w:r w:rsidRPr="00515EC0">
        <w:t xml:space="preserve"> (with qualifiers) due to the clinical significance of any abnormality of the CSF</w:t>
      </w:r>
      <w:r>
        <w:t xml:space="preserve"> </w:t>
      </w:r>
    </w:p>
    <w:p w:rsidR="00AB70A0" w:rsidRDefault="00AB70A0" w:rsidP="00AB70A0">
      <w:pPr>
        <w:pStyle w:val="BodytextAgency"/>
        <w:numPr>
          <w:ilvl w:val="1"/>
          <w:numId w:val="12"/>
        </w:numPr>
        <w:pBdr>
          <w:top w:val="single" w:sz="4" w:space="1" w:color="auto"/>
          <w:left w:val="single" w:sz="4" w:space="4" w:color="auto"/>
          <w:bottom w:val="single" w:sz="4" w:space="1" w:color="auto"/>
          <w:right w:val="single" w:sz="4" w:space="4" w:color="auto"/>
        </w:pBdr>
        <w:shd w:val="clear" w:color="auto" w:fill="C6D9F1"/>
      </w:pPr>
      <w:r w:rsidRPr="00C1070D">
        <w:t>However</w:t>
      </w:r>
      <w:r>
        <w:t>, i</w:t>
      </w:r>
      <w:r w:rsidRPr="00515EC0">
        <w:t>solated finding</w:t>
      </w:r>
      <w:r>
        <w:t>s</w:t>
      </w:r>
      <w:r w:rsidRPr="00515EC0">
        <w:t xml:space="preserve"> of an increased or decreased measured parameter (e.g., PT </w:t>
      </w:r>
      <w:r w:rsidRPr="009F5DF9">
        <w:rPr>
          <w:i/>
        </w:rPr>
        <w:t>Blood magnesium increased</w:t>
      </w:r>
      <w:r w:rsidRPr="00515EC0">
        <w:t>)</w:t>
      </w:r>
      <w:r>
        <w:t xml:space="preserve"> and u</w:t>
      </w:r>
      <w:r w:rsidRPr="00515EC0">
        <w:t xml:space="preserve">nqualified test terms (e.g., PT </w:t>
      </w:r>
      <w:proofErr w:type="spellStart"/>
      <w:r w:rsidRPr="009F5DF9">
        <w:rPr>
          <w:i/>
        </w:rPr>
        <w:t>Angioscopy</w:t>
      </w:r>
      <w:proofErr w:type="spellEnd"/>
      <w:r w:rsidRPr="00515EC0">
        <w:t>)</w:t>
      </w:r>
      <w:r>
        <w:t xml:space="preserve"> </w:t>
      </w:r>
      <w:r w:rsidRPr="00093AAD">
        <w:rPr>
          <w:b/>
        </w:rPr>
        <w:t>are excluded</w:t>
      </w:r>
    </w:p>
    <w:p w:rsidR="00AB70A0" w:rsidRDefault="00AB70A0" w:rsidP="00AB70A0">
      <w:pPr>
        <w:pStyle w:val="BodytextAgency"/>
        <w:numPr>
          <w:ilvl w:val="0"/>
          <w:numId w:val="12"/>
        </w:numPr>
      </w:pPr>
      <w:r w:rsidRPr="00093AAD">
        <w:rPr>
          <w:b/>
        </w:rPr>
        <w:t>Social</w:t>
      </w:r>
      <w:r w:rsidRPr="00093AAD">
        <w:t xml:space="preserve"> </w:t>
      </w:r>
      <w:r w:rsidRPr="00093AAD">
        <w:rPr>
          <w:b/>
        </w:rPr>
        <w:t xml:space="preserve">circumstances </w:t>
      </w:r>
      <w:r>
        <w:t xml:space="preserve">(mainly lifestyle issues) </w:t>
      </w:r>
      <w:r w:rsidRPr="00693987">
        <w:t xml:space="preserve">that could potentially be reported as AEs/ADRs and that would fit </w:t>
      </w:r>
      <w:r>
        <w:t xml:space="preserve">into </w:t>
      </w:r>
      <w:r w:rsidRPr="00693987">
        <w:t xml:space="preserve">the definition of an IME (e.g., PT </w:t>
      </w:r>
      <w:r w:rsidRPr="009F5DF9">
        <w:rPr>
          <w:i/>
        </w:rPr>
        <w:t>Substance abuser</w:t>
      </w:r>
      <w:r w:rsidRPr="00693987">
        <w:t>)</w:t>
      </w:r>
    </w:p>
    <w:p w:rsidR="00AB70A0" w:rsidRDefault="00AB70A0" w:rsidP="00AB70A0">
      <w:pPr>
        <w:pStyle w:val="BodytextAgency"/>
        <w:numPr>
          <w:ilvl w:val="0"/>
          <w:numId w:val="12"/>
        </w:numPr>
      </w:pPr>
      <w:r w:rsidRPr="00093AAD">
        <w:rPr>
          <w:b/>
        </w:rPr>
        <w:t xml:space="preserve">Surgical and medical procedures </w:t>
      </w:r>
      <w:r>
        <w:t>that imply</w:t>
      </w:r>
      <w:r w:rsidRPr="00981B46">
        <w:t xml:space="preserve"> an IME has occurred (e.g., PT </w:t>
      </w:r>
      <w:r w:rsidRPr="009F5DF9">
        <w:rPr>
          <w:i/>
        </w:rPr>
        <w:t>Malignant breast lump removal</w:t>
      </w:r>
      <w:r w:rsidRPr="00C8033F">
        <w:t>)</w:t>
      </w:r>
    </w:p>
    <w:p w:rsidR="00AB70A0" w:rsidRDefault="00AB70A0" w:rsidP="00AB70A0">
      <w:pPr>
        <w:pStyle w:val="BodytextAgency"/>
        <w:numPr>
          <w:ilvl w:val="0"/>
          <w:numId w:val="12"/>
        </w:numPr>
      </w:pPr>
      <w:r>
        <w:t xml:space="preserve">Most </w:t>
      </w:r>
      <w:r w:rsidRPr="009E3DD4">
        <w:rPr>
          <w:b/>
        </w:rPr>
        <w:t>abortion</w:t>
      </w:r>
      <w:r>
        <w:t xml:space="preserve"> terms and </w:t>
      </w:r>
      <w:r w:rsidRPr="00160D45">
        <w:t>pla</w:t>
      </w:r>
      <w:r>
        <w:t xml:space="preserve">cental and umbilical cord conditions, </w:t>
      </w:r>
      <w:r w:rsidRPr="00160D45">
        <w:t>which imply a threat to the health or viability of the f</w:t>
      </w:r>
      <w:r>
        <w:t>o</w:t>
      </w:r>
      <w:r w:rsidRPr="00160D45">
        <w:t>etus</w:t>
      </w:r>
    </w:p>
    <w:p w:rsidR="00AB70A0" w:rsidRPr="00E3377D" w:rsidRDefault="00AB70A0" w:rsidP="00AB70A0">
      <w:pPr>
        <w:pStyle w:val="BodytextAgency"/>
        <w:numPr>
          <w:ilvl w:val="0"/>
          <w:numId w:val="12"/>
        </w:numPr>
        <w:pBdr>
          <w:top w:val="single" w:sz="4" w:space="1" w:color="auto"/>
          <w:left w:val="single" w:sz="4" w:space="4" w:color="auto"/>
          <w:bottom w:val="single" w:sz="4" w:space="1" w:color="auto"/>
          <w:right w:val="single" w:sz="4" w:space="4" w:color="auto"/>
        </w:pBdr>
        <w:shd w:val="clear" w:color="auto" w:fill="C6D9F1"/>
        <w:spacing w:after="0"/>
        <w:ind w:left="714" w:hanging="357"/>
      </w:pPr>
      <w:r w:rsidRPr="00E3377D">
        <w:t xml:space="preserve">“Elective abortion” terms </w:t>
      </w:r>
      <w:r w:rsidRPr="00E3377D">
        <w:rPr>
          <w:b/>
        </w:rPr>
        <w:t>are excluded</w:t>
      </w:r>
    </w:p>
    <w:p w:rsidR="00AB70A0" w:rsidRPr="003A61CA" w:rsidRDefault="00AB70A0" w:rsidP="00AB70A0">
      <w:pPr>
        <w:pStyle w:val="BodytextAgency"/>
        <w:ind w:left="720"/>
      </w:pPr>
    </w:p>
    <w:p w:rsidR="00AB70A0" w:rsidRDefault="00AB70A0" w:rsidP="00AB70A0">
      <w:pPr>
        <w:pStyle w:val="BodytextAgency"/>
        <w:numPr>
          <w:ilvl w:val="0"/>
          <w:numId w:val="12"/>
        </w:numPr>
        <w:rPr>
          <w:b/>
        </w:rPr>
      </w:pPr>
      <w:r w:rsidRPr="00BC7C2F">
        <w:rPr>
          <w:b/>
        </w:rPr>
        <w:t>Infertility</w:t>
      </w:r>
      <w:r>
        <w:rPr>
          <w:b/>
        </w:rPr>
        <w:t xml:space="preserve"> terms</w:t>
      </w:r>
    </w:p>
    <w:p w:rsidR="00AB70A0" w:rsidRPr="003A61CA" w:rsidRDefault="00AB70A0" w:rsidP="00AB70A0">
      <w:pPr>
        <w:pStyle w:val="BodytextAgency"/>
        <w:numPr>
          <w:ilvl w:val="0"/>
          <w:numId w:val="12"/>
        </w:numPr>
        <w:rPr>
          <w:b/>
        </w:rPr>
      </w:pPr>
      <w:r w:rsidRPr="00E3377D">
        <w:t xml:space="preserve">Terms </w:t>
      </w:r>
      <w:r>
        <w:t>for</w:t>
      </w:r>
      <w:r>
        <w:rPr>
          <w:b/>
        </w:rPr>
        <w:t xml:space="preserve"> pregnancy with contraceptive</w:t>
      </w:r>
      <w:r>
        <w:t>, which imply a lack of efficacy of the contraceptive</w:t>
      </w:r>
    </w:p>
    <w:p w:rsidR="00AB70A0" w:rsidRDefault="00AB70A0" w:rsidP="00AB70A0">
      <w:pPr>
        <w:pStyle w:val="BodytextAgency"/>
        <w:numPr>
          <w:ilvl w:val="0"/>
          <w:numId w:val="12"/>
        </w:numPr>
      </w:pPr>
      <w:r w:rsidRPr="008E5C90">
        <w:rPr>
          <w:b/>
        </w:rPr>
        <w:t>Device-related terms</w:t>
      </w:r>
      <w:r w:rsidRPr="008E5C90">
        <w:t xml:space="preserve"> </w:t>
      </w:r>
      <w:r>
        <w:t xml:space="preserve">causing </w:t>
      </w:r>
      <w:r w:rsidRPr="008E5C90">
        <w:t xml:space="preserve">a direct injury or complication to a patient that </w:t>
      </w:r>
      <w:r>
        <w:t xml:space="preserve">fulfils </w:t>
      </w:r>
      <w:r w:rsidRPr="008E5C90">
        <w:t xml:space="preserve">the definition of an IME (e.g., PT </w:t>
      </w:r>
      <w:r w:rsidR="00102C49">
        <w:rPr>
          <w:i/>
        </w:rPr>
        <w:t>Device related sepsis</w:t>
      </w:r>
      <w:r w:rsidRPr="008E5C90">
        <w:t>)</w:t>
      </w:r>
    </w:p>
    <w:p w:rsidR="0072392F" w:rsidRDefault="00E76412" w:rsidP="00AB70A0">
      <w:pPr>
        <w:pStyle w:val="BodytextAgency"/>
        <w:numPr>
          <w:ilvl w:val="0"/>
          <w:numId w:val="12"/>
        </w:numPr>
      </w:pPr>
      <w:r>
        <w:rPr>
          <w:lang w:val="en-US"/>
        </w:rPr>
        <w:t>T</w:t>
      </w:r>
      <w:r w:rsidR="0072392F">
        <w:rPr>
          <w:lang w:val="en-US"/>
        </w:rPr>
        <w:t>erms that in large pharmacovigilance databases have been frequently associated with high rate of fatality</w:t>
      </w:r>
    </w:p>
    <w:p w:rsidR="00AB70A0" w:rsidRPr="00C1070D" w:rsidRDefault="00AB70A0" w:rsidP="00AB70A0">
      <w:pPr>
        <w:pStyle w:val="BodytextAgency"/>
        <w:numPr>
          <w:ilvl w:val="0"/>
          <w:numId w:val="12"/>
        </w:numPr>
        <w:pBdr>
          <w:top w:val="single" w:sz="4" w:space="1" w:color="auto"/>
          <w:left w:val="single" w:sz="4" w:space="4" w:color="auto"/>
          <w:bottom w:val="single" w:sz="4" w:space="1" w:color="auto"/>
          <w:right w:val="single" w:sz="4" w:space="4" w:color="auto"/>
        </w:pBdr>
        <w:shd w:val="clear" w:color="auto" w:fill="C6D9F1"/>
        <w:spacing w:after="0"/>
        <w:ind w:left="714" w:hanging="357"/>
      </w:pPr>
      <w:r>
        <w:t>N</w:t>
      </w:r>
      <w:r w:rsidRPr="00AB251C">
        <w:t xml:space="preserve">onspecific </w:t>
      </w:r>
      <w:r>
        <w:t>“disorders” and “anomalies</w:t>
      </w:r>
      <w:r w:rsidRPr="001B7ACF">
        <w:t>”, and other categori</w:t>
      </w:r>
      <w:r>
        <w:t>s</w:t>
      </w:r>
      <w:r w:rsidRPr="001B7ACF">
        <w:t xml:space="preserve">ations referring broadly to an organ system (e.g. PT </w:t>
      </w:r>
      <w:r w:rsidRPr="000D0976">
        <w:rPr>
          <w:i/>
        </w:rPr>
        <w:t>Skin disorder</w:t>
      </w:r>
      <w:r>
        <w:t xml:space="preserve">) </w:t>
      </w:r>
      <w:r w:rsidRPr="000D0976">
        <w:rPr>
          <w:b/>
        </w:rPr>
        <w:t>are excluded</w:t>
      </w:r>
    </w:p>
    <w:p w:rsidR="00AB70A0" w:rsidRDefault="00AB70A0" w:rsidP="00AB70A0">
      <w:pPr>
        <w:pStyle w:val="BodytextAgency"/>
      </w:pPr>
    </w:p>
    <w:p w:rsidR="00AB70A0" w:rsidRDefault="00AB70A0" w:rsidP="00AB70A0">
      <w:pPr>
        <w:pStyle w:val="BodytextAgency"/>
        <w:numPr>
          <w:ilvl w:val="0"/>
          <w:numId w:val="12"/>
        </w:numPr>
        <w:pBdr>
          <w:top w:val="single" w:sz="4" w:space="1" w:color="auto"/>
          <w:left w:val="single" w:sz="4" w:space="4" w:color="auto"/>
          <w:bottom w:val="single" w:sz="4" w:space="1" w:color="auto"/>
          <w:right w:val="single" w:sz="4" w:space="4" w:color="auto"/>
        </w:pBdr>
        <w:shd w:val="clear" w:color="auto" w:fill="C6D9F1"/>
        <w:spacing w:after="0"/>
      </w:pPr>
      <w:r w:rsidRPr="00546033">
        <w:t>“</w:t>
      </w:r>
      <w:r>
        <w:t>L</w:t>
      </w:r>
      <w:r w:rsidRPr="00546033">
        <w:t xml:space="preserve">esion” </w:t>
      </w:r>
      <w:r>
        <w:t xml:space="preserve">terms </w:t>
      </w:r>
      <w:r w:rsidRPr="00C1070D">
        <w:rPr>
          <w:b/>
        </w:rPr>
        <w:t>are excluded</w:t>
      </w:r>
      <w:r>
        <w:t xml:space="preserve">, </w:t>
      </w:r>
      <w:r w:rsidRPr="00546033">
        <w:t xml:space="preserve">unless the finding automatically implies an IME, such as for PT </w:t>
      </w:r>
      <w:r w:rsidRPr="000D0976">
        <w:rPr>
          <w:i/>
        </w:rPr>
        <w:t>Precancerous mucosal lesion</w:t>
      </w:r>
      <w:r>
        <w:t xml:space="preserve"> and certain nervous system lesions</w:t>
      </w:r>
    </w:p>
    <w:p w:rsidR="00AB70A0" w:rsidRDefault="00AB70A0" w:rsidP="00AB70A0">
      <w:pPr>
        <w:pStyle w:val="BodytextAgency"/>
        <w:ind w:left="720"/>
      </w:pPr>
    </w:p>
    <w:p w:rsidR="00AB70A0" w:rsidRDefault="00AB70A0" w:rsidP="00AB70A0">
      <w:pPr>
        <w:pStyle w:val="BodytextAgency"/>
        <w:numPr>
          <w:ilvl w:val="0"/>
          <w:numId w:val="12"/>
        </w:numPr>
        <w:pBdr>
          <w:top w:val="single" w:sz="4" w:space="1" w:color="auto"/>
          <w:left w:val="single" w:sz="4" w:space="4" w:color="auto"/>
          <w:bottom w:val="single" w:sz="4" w:space="1" w:color="auto"/>
          <w:right w:val="single" w:sz="4" w:space="4" w:color="auto"/>
        </w:pBdr>
        <w:shd w:val="clear" w:color="auto" w:fill="C6D9F1"/>
        <w:spacing w:after="0"/>
      </w:pPr>
      <w:r>
        <w:lastRenderedPageBreak/>
        <w:t>S</w:t>
      </w:r>
      <w:r w:rsidRPr="005C253D">
        <w:t xml:space="preserve">igns and symptoms </w:t>
      </w:r>
      <w:r>
        <w:t xml:space="preserve">(such as pain and discomfort) </w:t>
      </w:r>
      <w:r>
        <w:rPr>
          <w:b/>
        </w:rPr>
        <w:t xml:space="preserve">are excluded </w:t>
      </w:r>
      <w:r>
        <w:t xml:space="preserve">as they generally do not fulfil the </w:t>
      </w:r>
      <w:r w:rsidRPr="00D25307">
        <w:t>definition of an IME</w:t>
      </w:r>
    </w:p>
    <w:p w:rsidR="00AB70A0" w:rsidRDefault="00AB70A0" w:rsidP="00AB70A0">
      <w:pPr>
        <w:pStyle w:val="BodytextAgency"/>
        <w:ind w:left="720"/>
      </w:pPr>
    </w:p>
    <w:p w:rsidR="00AB70A0" w:rsidRPr="00E3377D" w:rsidRDefault="00AB70A0" w:rsidP="00AB70A0">
      <w:pPr>
        <w:pStyle w:val="BodytextAgency"/>
        <w:numPr>
          <w:ilvl w:val="0"/>
          <w:numId w:val="12"/>
        </w:numPr>
        <w:pBdr>
          <w:top w:val="single" w:sz="4" w:space="1" w:color="auto"/>
          <w:left w:val="single" w:sz="4" w:space="4" w:color="auto"/>
          <w:bottom w:val="single" w:sz="4" w:space="0" w:color="auto"/>
          <w:right w:val="single" w:sz="4" w:space="4" w:color="auto"/>
        </w:pBdr>
        <w:shd w:val="clear" w:color="auto" w:fill="C6D9F1"/>
      </w:pPr>
      <w:r w:rsidRPr="00E3377D">
        <w:t xml:space="preserve">Medication error, accidental exposures, and product quality concepts are generally </w:t>
      </w:r>
      <w:r w:rsidRPr="00E3377D">
        <w:rPr>
          <w:b/>
        </w:rPr>
        <w:t>excluded.</w:t>
      </w:r>
      <w:r w:rsidRPr="00E3377D">
        <w:t xml:space="preserve"> Administration site and other “site” concepts are generally </w:t>
      </w:r>
      <w:r w:rsidRPr="00E3377D">
        <w:rPr>
          <w:b/>
        </w:rPr>
        <w:t>excluded</w:t>
      </w:r>
      <w:r w:rsidRPr="00E3377D">
        <w:t xml:space="preserve"> except for the following: site ischaemia, site joint infection, site necrosis, site thrombosis and other site conditions that have the potential to spread systematically and result in immediate clinical consequences with the loss or compromise of arteriovenous fistula/arteriovenous graft function (e.g. PT </w:t>
      </w:r>
      <w:r w:rsidRPr="00E3377D">
        <w:rPr>
          <w:i/>
          <w:iCs/>
        </w:rPr>
        <w:t xml:space="preserve">Arteriovenous fistula site infection, </w:t>
      </w:r>
      <w:r w:rsidRPr="00E3377D">
        <w:rPr>
          <w:iCs/>
        </w:rPr>
        <w:t>PT</w:t>
      </w:r>
      <w:r>
        <w:rPr>
          <w:i/>
          <w:iCs/>
        </w:rPr>
        <w:t xml:space="preserve"> </w:t>
      </w:r>
      <w:r w:rsidRPr="00E3377D">
        <w:rPr>
          <w:i/>
          <w:iCs/>
        </w:rPr>
        <w:t>Arteriovenous graft site abscess</w:t>
      </w:r>
      <w:r w:rsidRPr="00E3377D">
        <w:rPr>
          <w:iCs/>
        </w:rPr>
        <w:t xml:space="preserve"> and</w:t>
      </w:r>
      <w:r w:rsidRPr="00E3377D">
        <w:rPr>
          <w:i/>
          <w:iCs/>
        </w:rPr>
        <w:t xml:space="preserve"> </w:t>
      </w:r>
      <w:r w:rsidRPr="00E3377D">
        <w:rPr>
          <w:iCs/>
        </w:rPr>
        <w:t>PT</w:t>
      </w:r>
      <w:r>
        <w:rPr>
          <w:i/>
          <w:iCs/>
        </w:rPr>
        <w:t xml:space="preserve"> </w:t>
      </w:r>
      <w:r w:rsidRPr="00E3377D">
        <w:rPr>
          <w:i/>
          <w:iCs/>
        </w:rPr>
        <w:t>Arteriovenous graft site infection</w:t>
      </w:r>
      <w:r w:rsidRPr="00E3377D">
        <w:rPr>
          <w:iCs/>
        </w:rPr>
        <w:t>)</w:t>
      </w:r>
      <w:r w:rsidRPr="00E3377D">
        <w:t>.</w:t>
      </w:r>
      <w:r w:rsidRPr="00E3377D" w:rsidDel="002B4D71">
        <w:rPr>
          <w:rStyle w:val="CommentReference"/>
          <w:rFonts w:eastAsia="SimSun" w:cs="Times New Roman"/>
          <w:lang w:eastAsia="zh-CN"/>
        </w:rPr>
        <w:t xml:space="preserve"> </w:t>
      </w:r>
    </w:p>
    <w:sectPr w:rsidR="00AB70A0" w:rsidRPr="00E3377D" w:rsidSect="00AB70A0">
      <w:headerReference w:type="even" r:id="rId8"/>
      <w:headerReference w:type="default" r:id="rId9"/>
      <w:footerReference w:type="even" r:id="rId10"/>
      <w:footerReference w:type="default" r:id="rId11"/>
      <w:headerReference w:type="first" r:id="rId12"/>
      <w:footerReference w:type="first" r:id="rId13"/>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AE" w:rsidRDefault="007B36AE">
      <w:r>
        <w:separator/>
      </w:r>
    </w:p>
  </w:endnote>
  <w:endnote w:type="continuationSeparator" w:id="0">
    <w:p w:rsidR="007B36AE" w:rsidRDefault="007B36AE">
      <w:r>
        <w:continuationSeparator/>
      </w:r>
    </w:p>
  </w:endnote>
  <w:endnote w:type="continuationNotice" w:id="1">
    <w:p w:rsidR="007B36AE" w:rsidRDefault="007B3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E0" w:rsidRDefault="00403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DB" w:rsidRDefault="009401DB">
    <w:pPr>
      <w:pStyle w:val="FooterAgency"/>
    </w:pPr>
  </w:p>
  <w:tbl>
    <w:tblPr>
      <w:tblW w:w="5000" w:type="pct"/>
      <w:tblLook w:val="01E0" w:firstRow="1" w:lastRow="1" w:firstColumn="1" w:lastColumn="1" w:noHBand="0" w:noVBand="0"/>
    </w:tblPr>
    <w:tblGrid>
      <w:gridCol w:w="6196"/>
      <w:gridCol w:w="3217"/>
    </w:tblGrid>
    <w:tr w:rsidR="009401DB" w:rsidRPr="00A44B8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9401DB" w:rsidRPr="00466396" w:rsidRDefault="009401DB">
          <w:pPr>
            <w:pStyle w:val="FooterAgency"/>
            <w:rPr>
              <w:rFonts w:cs="Verdana"/>
            </w:rPr>
          </w:pPr>
        </w:p>
      </w:tc>
    </w:tr>
    <w:tr w:rsidR="009401DB" w:rsidRPr="00A44B87">
      <w:tc>
        <w:tcPr>
          <w:tcW w:w="3291" w:type="pct"/>
          <w:shd w:val="clear" w:color="auto" w:fill="auto"/>
          <w:tcMar>
            <w:left w:w="0" w:type="dxa"/>
            <w:right w:w="0" w:type="dxa"/>
          </w:tcMar>
        </w:tcPr>
        <w:p w:rsidR="009401DB" w:rsidRPr="00466396" w:rsidRDefault="001A6BCF">
          <w:pPr>
            <w:pStyle w:val="FooterAgency"/>
            <w:rPr>
              <w:rFonts w:cs="Verdana"/>
            </w:rPr>
          </w:pPr>
          <w:r w:rsidRPr="00466396">
            <w:rPr>
              <w:rFonts w:cs="Verdana"/>
              <w:szCs w:val="15"/>
            </w:rPr>
            <w:fldChar w:fldCharType="begin"/>
          </w:r>
          <w:r w:rsidR="009401DB" w:rsidRPr="00466396">
            <w:rPr>
              <w:rFonts w:cs="Verdana"/>
              <w:szCs w:val="15"/>
            </w:rPr>
            <w:instrText xml:space="preserve"> IF </w:instrText>
          </w:r>
          <w:fldSimple w:instr=" STYLEREF  &quot;Doc title (Agency)&quot;  \* MERGEFORMAT ">
            <w:r w:rsidR="00CE5EE9" w:rsidRPr="00CE5EE9">
              <w:rPr>
                <w:rFonts w:cs="Verdana"/>
                <w:b/>
                <w:bCs/>
                <w:noProof/>
                <w:lang w:val="en-US"/>
              </w:rPr>
              <w:instrText>Inclusion/exclusion criteria for the “Important Medical Events”</w:instrText>
            </w:r>
            <w:r w:rsidR="00CE5EE9" w:rsidRPr="00CE5EE9">
              <w:rPr>
                <w:rFonts w:cs="Verdana"/>
                <w:noProof/>
              </w:rPr>
              <w:instrText xml:space="preserve"> list</w:instrText>
            </w:r>
          </w:fldSimple>
          <w:r w:rsidR="009401DB" w:rsidRPr="00466396">
            <w:rPr>
              <w:rFonts w:cs="Verdana"/>
              <w:szCs w:val="15"/>
            </w:rPr>
            <w:instrText xml:space="preserve"> &lt;&gt; "Error*"</w:instrText>
          </w:r>
          <w:fldSimple w:instr=" STYLEREF  &quot;Doc title (Agency)&quot;  \* MERGEFORMAT ">
            <w:r w:rsidR="00CE5EE9" w:rsidRPr="00CE5EE9">
              <w:rPr>
                <w:rFonts w:cs="Verdana"/>
                <w:noProof/>
              </w:rPr>
              <w:instrText>Inclusion/exclusion criteria for the “Important Medical Events” list</w:instrText>
            </w:r>
          </w:fldSimple>
          <w:r w:rsidR="009401DB" w:rsidRPr="00466396">
            <w:rPr>
              <w:rFonts w:cs="Verdana"/>
              <w:szCs w:val="15"/>
            </w:rPr>
            <w:instrText xml:space="preserve"> \* MERGEFORMAT </w:instrText>
          </w:r>
          <w:r w:rsidRPr="00466396">
            <w:rPr>
              <w:rFonts w:cs="Verdana"/>
              <w:szCs w:val="15"/>
            </w:rPr>
            <w:fldChar w:fldCharType="separate"/>
          </w:r>
          <w:r w:rsidR="00CE5EE9" w:rsidRPr="00CE5EE9">
            <w:rPr>
              <w:rFonts w:cs="Verdana"/>
              <w:noProof/>
            </w:rPr>
            <w:t>Inclusion/exclusion criteria for the “Important Medical Events” list</w:t>
          </w:r>
          <w:r w:rsidRPr="00466396">
            <w:rPr>
              <w:rFonts w:cs="Verdana"/>
              <w:szCs w:val="15"/>
            </w:rPr>
            <w:fldChar w:fldCharType="end"/>
          </w:r>
          <w:r w:rsidR="009401DB" w:rsidRPr="00466396">
            <w:rPr>
              <w:rFonts w:cs="Verdana"/>
              <w:szCs w:val="15"/>
            </w:rPr>
            <w:t xml:space="preserve"> </w:t>
          </w:r>
        </w:p>
      </w:tc>
      <w:tc>
        <w:tcPr>
          <w:tcW w:w="1709" w:type="pct"/>
          <w:shd w:val="clear" w:color="auto" w:fill="auto"/>
          <w:tcMar>
            <w:left w:w="0" w:type="dxa"/>
            <w:right w:w="0" w:type="dxa"/>
          </w:tcMar>
        </w:tcPr>
        <w:p w:rsidR="009401DB" w:rsidRPr="00466396" w:rsidRDefault="009401DB">
          <w:pPr>
            <w:pStyle w:val="FooterAgency"/>
            <w:rPr>
              <w:rFonts w:cs="Verdana"/>
            </w:rPr>
          </w:pPr>
        </w:p>
      </w:tc>
    </w:tr>
    <w:tr w:rsidR="009401DB" w:rsidRPr="00A44B87">
      <w:tc>
        <w:tcPr>
          <w:tcW w:w="3291" w:type="pct"/>
          <w:shd w:val="clear" w:color="auto" w:fill="auto"/>
          <w:tcMar>
            <w:left w:w="0" w:type="dxa"/>
            <w:right w:w="0" w:type="dxa"/>
          </w:tcMar>
        </w:tcPr>
        <w:p w:rsidR="009401DB" w:rsidRPr="00466396" w:rsidRDefault="001A6BCF" w:rsidP="00F04460">
          <w:pPr>
            <w:pStyle w:val="FooterAgency"/>
            <w:rPr>
              <w:rFonts w:cs="Verdana"/>
            </w:rPr>
          </w:pPr>
          <w:r w:rsidRPr="00466396">
            <w:rPr>
              <w:rFonts w:cs="Verdana"/>
              <w:szCs w:val="15"/>
            </w:rPr>
            <w:fldChar w:fldCharType="begin"/>
          </w:r>
          <w:r w:rsidR="009401DB" w:rsidRPr="00466396">
            <w:rPr>
              <w:rFonts w:cs="Verdana"/>
              <w:szCs w:val="15"/>
            </w:rPr>
            <w:instrText xml:space="preserve"> IF </w:instrText>
          </w:r>
          <w:fldSimple w:instr=" DOCPROPERTY &quot;DM_emea_doc_ref_id&quot;  \* MERGEFORMAT ">
            <w:r w:rsidR="004033E0" w:rsidRPr="004033E0">
              <w:rPr>
                <w:rFonts w:cs="Verdana"/>
                <w:b/>
                <w:bCs/>
                <w:lang w:val="en-US"/>
              </w:rPr>
              <w:instrText>EMA/154648/2016</w:instrText>
            </w:r>
          </w:fldSimple>
          <w:r w:rsidR="009401DB" w:rsidRPr="00466396">
            <w:rPr>
              <w:rFonts w:cs="Verdana"/>
              <w:szCs w:val="15"/>
            </w:rPr>
            <w:instrText xml:space="preserve"> &lt;&gt; "Error*"</w:instrText>
          </w:r>
          <w:fldSimple w:instr=" DOCPROPERTY &quot;DM_emea_doc_ref_id&quot;  \* MERGEFORMAT ">
            <w:r w:rsidR="004033E0" w:rsidRPr="004033E0">
              <w:rPr>
                <w:rFonts w:cs="Verdana"/>
              </w:rPr>
              <w:instrText>EMA/154648/2016</w:instrText>
            </w:r>
          </w:fldSimple>
          <w:r w:rsidR="009401DB" w:rsidRPr="00466396">
            <w:rPr>
              <w:rFonts w:cs="Verdana"/>
              <w:szCs w:val="15"/>
            </w:rPr>
            <w:instrText xml:space="preserve"> \* MERGEFORMAT </w:instrText>
          </w:r>
          <w:r w:rsidRPr="00466396">
            <w:rPr>
              <w:rFonts w:cs="Verdana"/>
              <w:szCs w:val="15"/>
            </w:rPr>
            <w:fldChar w:fldCharType="separate"/>
          </w:r>
          <w:r w:rsidR="004033E0" w:rsidRPr="004033E0">
            <w:rPr>
              <w:rFonts w:cs="Verdana"/>
              <w:noProof/>
            </w:rPr>
            <w:t>EMA/154648/2016</w:t>
          </w:r>
          <w:r w:rsidRPr="00466396">
            <w:rPr>
              <w:rFonts w:cs="Verdana"/>
              <w:szCs w:val="15"/>
            </w:rPr>
            <w:fldChar w:fldCharType="end"/>
          </w:r>
          <w:r w:rsidR="009401DB" w:rsidRPr="00466396">
            <w:rPr>
              <w:rFonts w:cs="Verdana"/>
              <w:szCs w:val="15"/>
            </w:rPr>
            <w:t xml:space="preserve"> </w:t>
          </w:r>
        </w:p>
      </w:tc>
      <w:tc>
        <w:tcPr>
          <w:tcW w:w="1709" w:type="pct"/>
          <w:shd w:val="clear" w:color="auto" w:fill="auto"/>
          <w:tcMar>
            <w:left w:w="0" w:type="dxa"/>
            <w:right w:w="0" w:type="dxa"/>
          </w:tcMar>
        </w:tcPr>
        <w:p w:rsidR="009401DB" w:rsidRPr="000955BF" w:rsidRDefault="009401DB">
          <w:pPr>
            <w:jc w:val="right"/>
            <w:rPr>
              <w:rStyle w:val="PageNumberAgency0"/>
              <w:rFonts w:eastAsia="Verdana" w:cs="Times New Roman"/>
              <w:color w:val="6D6F71"/>
              <w:szCs w:val="14"/>
              <w:lang w:eastAsia="en-GB"/>
            </w:rPr>
          </w:pPr>
          <w:r w:rsidRPr="000955BF">
            <w:rPr>
              <w:rStyle w:val="PageNumberAgency0"/>
            </w:rPr>
            <w:t xml:space="preserve">Page </w:t>
          </w:r>
          <w:r w:rsidR="001A6BCF" w:rsidRPr="000955BF">
            <w:rPr>
              <w:rStyle w:val="PageNumberAgency0"/>
            </w:rPr>
            <w:fldChar w:fldCharType="begin"/>
          </w:r>
          <w:r w:rsidRPr="000955BF">
            <w:rPr>
              <w:rStyle w:val="PageNumberAgency0"/>
            </w:rPr>
            <w:instrText xml:space="preserve"> PAGE </w:instrText>
          </w:r>
          <w:r w:rsidR="001A6BCF" w:rsidRPr="000955BF">
            <w:rPr>
              <w:rStyle w:val="PageNumberAgency0"/>
            </w:rPr>
            <w:fldChar w:fldCharType="separate"/>
          </w:r>
          <w:r w:rsidR="00CE5EE9">
            <w:rPr>
              <w:rStyle w:val="PageNumberAgency0"/>
              <w:noProof/>
            </w:rPr>
            <w:t>6</w:t>
          </w:r>
          <w:r w:rsidR="001A6BCF" w:rsidRPr="000955BF">
            <w:rPr>
              <w:rStyle w:val="PageNumberAgency0"/>
            </w:rPr>
            <w:fldChar w:fldCharType="end"/>
          </w:r>
          <w:r w:rsidRPr="000955BF">
            <w:rPr>
              <w:rStyle w:val="PageNumberAgency0"/>
            </w:rPr>
            <w:t>/</w:t>
          </w:r>
          <w:r w:rsidR="001A6BCF" w:rsidRPr="000955BF">
            <w:rPr>
              <w:rStyle w:val="PageNumberAgency0"/>
            </w:rPr>
            <w:fldChar w:fldCharType="begin"/>
          </w:r>
          <w:r w:rsidRPr="000955BF">
            <w:rPr>
              <w:rStyle w:val="PageNumberAgency0"/>
            </w:rPr>
            <w:instrText xml:space="preserve"> NUMPAGES </w:instrText>
          </w:r>
          <w:r w:rsidR="001A6BCF" w:rsidRPr="000955BF">
            <w:rPr>
              <w:rStyle w:val="PageNumberAgency0"/>
            </w:rPr>
            <w:fldChar w:fldCharType="separate"/>
          </w:r>
          <w:r w:rsidR="00CE5EE9">
            <w:rPr>
              <w:rStyle w:val="PageNumberAgency0"/>
              <w:noProof/>
            </w:rPr>
            <w:t>6</w:t>
          </w:r>
          <w:r w:rsidR="001A6BCF" w:rsidRPr="000955BF">
            <w:rPr>
              <w:rStyle w:val="PageNumberAgency0"/>
            </w:rPr>
            <w:fldChar w:fldCharType="end"/>
          </w:r>
        </w:p>
      </w:tc>
    </w:tr>
  </w:tbl>
  <w:p w:rsidR="009401DB" w:rsidRDefault="009401DB">
    <w:pPr>
      <w:pStyle w:val="NormalAgency"/>
    </w:pPr>
  </w:p>
  <w:p w:rsidR="009401DB" w:rsidRDefault="009401DB" w:rsidP="00AB70A0">
    <w:pPr>
      <w:pStyle w:val="FooterAgenc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6206"/>
      <w:gridCol w:w="3207"/>
    </w:tblGrid>
    <w:tr w:rsidR="009401DB" w:rsidRPr="00390AC0">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9401DB" w:rsidRPr="00466396" w:rsidRDefault="009401DB">
          <w:pPr>
            <w:pStyle w:val="FooterAgency"/>
            <w:rPr>
              <w:rFonts w:cs="Verdana"/>
            </w:rPr>
          </w:pPr>
        </w:p>
      </w:tc>
    </w:tr>
    <w:tr w:rsidR="009401DB" w:rsidRPr="00390AC0">
      <w:trPr>
        <w:trHeight w:hRule="exact" w:val="198"/>
      </w:trPr>
      <w:tc>
        <w:tcPr>
          <w:tcW w:w="6206" w:type="dxa"/>
          <w:shd w:val="clear" w:color="auto" w:fill="auto"/>
          <w:tcMar>
            <w:left w:w="0" w:type="dxa"/>
            <w:right w:w="0" w:type="dxa"/>
          </w:tcMar>
          <w:vAlign w:val="bottom"/>
        </w:tcPr>
        <w:p w:rsidR="009401DB" w:rsidRPr="00466396" w:rsidRDefault="009401DB">
          <w:pPr>
            <w:pStyle w:val="FooterAgency"/>
            <w:rPr>
              <w:rFonts w:cs="Verdana"/>
            </w:rPr>
          </w:pPr>
          <w:r w:rsidRPr="00466396">
            <w:rPr>
              <w:rFonts w:cs="Verdana"/>
            </w:rPr>
            <w:t xml:space="preserve">30 Churchill Place </w:t>
          </w:r>
          <w:r w:rsidRPr="00696743">
            <w:rPr>
              <w:rStyle w:val="FooterblueAgencyCharChar"/>
            </w:rPr>
            <w:t>●</w:t>
          </w:r>
          <w:r w:rsidRPr="00466396">
            <w:rPr>
              <w:rFonts w:cs="Verdana"/>
            </w:rPr>
            <w:t xml:space="preserve"> Canary Wharf </w:t>
          </w:r>
          <w:r w:rsidRPr="00696743">
            <w:rPr>
              <w:rStyle w:val="FooterblueAgencyCharChar"/>
            </w:rPr>
            <w:t>●</w:t>
          </w:r>
          <w:r w:rsidRPr="00466396">
            <w:rPr>
              <w:rFonts w:cs="Verdana"/>
            </w:rPr>
            <w:t xml:space="preserve"> London E14 5EU </w:t>
          </w:r>
          <w:r w:rsidRPr="00696743">
            <w:rPr>
              <w:rStyle w:val="FooterblueAgencyCharChar"/>
            </w:rPr>
            <w:t>●</w:t>
          </w:r>
          <w:r w:rsidRPr="00466396">
            <w:rPr>
              <w:rFonts w:cs="Verdana"/>
            </w:rPr>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478"/>
            <w:gridCol w:w="709"/>
          </w:tblGrid>
          <w:tr w:rsidR="009401DB" w:rsidRPr="00A44B87">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9401DB" w:rsidRPr="00466396" w:rsidRDefault="009401DB">
                <w:pPr>
                  <w:pStyle w:val="FooterAgency"/>
                  <w:jc w:val="right"/>
                  <w:rPr>
                    <w:rFonts w:cs="Verdana"/>
                  </w:rPr>
                </w:pPr>
                <w:r w:rsidRPr="00466396">
                  <w:rPr>
                    <w:rFonts w:cs="Verdana"/>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9401DB" w:rsidRPr="00466396" w:rsidRDefault="00F02808">
                <w:pPr>
                  <w:pStyle w:val="FooterAgency"/>
                  <w:jc w:val="right"/>
                  <w:rPr>
                    <w:rFonts w:cs="Verdana"/>
                  </w:rPr>
                </w:pPr>
                <w:r>
                  <w:rPr>
                    <w:rFonts w:cs="Verdana"/>
                    <w:noProof/>
                  </w:rPr>
                  <w:drawing>
                    <wp:inline distT="0" distB="0" distL="0" distR="0">
                      <wp:extent cx="393700" cy="276225"/>
                      <wp:effectExtent l="25400" t="0" r="0" b="0"/>
                      <wp:docPr id="2" name="Picture 4"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rrowheads="1"/>
                              </pic:cNvPicPr>
                            </pic:nvPicPr>
                            <pic:blipFill>
                              <a:blip r:embed="rId1"/>
                              <a:srcRect/>
                              <a:stretch>
                                <a:fillRect/>
                              </a:stretch>
                            </pic:blipFill>
                            <pic:spPr bwMode="auto">
                              <a:xfrm>
                                <a:off x="0" y="0"/>
                                <a:ext cx="393700" cy="276225"/>
                              </a:xfrm>
                              <a:prstGeom prst="rect">
                                <a:avLst/>
                              </a:prstGeom>
                              <a:noFill/>
                              <a:ln w="9525">
                                <a:noFill/>
                                <a:miter lim="800000"/>
                                <a:headEnd/>
                                <a:tailEnd/>
                              </a:ln>
                            </pic:spPr>
                          </pic:pic>
                        </a:graphicData>
                      </a:graphic>
                    </wp:inline>
                  </w:drawing>
                </w:r>
              </w:p>
            </w:tc>
          </w:tr>
          <w:tr w:rsidR="009401DB" w:rsidRPr="00A44B87">
            <w:trPr>
              <w:trHeight w:val="390"/>
              <w:jc w:val="right"/>
            </w:trPr>
            <w:tc>
              <w:tcPr>
                <w:tcW w:w="2478" w:type="dxa"/>
                <w:vMerge/>
                <w:shd w:val="clear" w:color="auto" w:fill="auto"/>
              </w:tcPr>
              <w:p w:rsidR="009401DB" w:rsidRPr="00466396" w:rsidRDefault="009401DB">
                <w:pPr>
                  <w:pStyle w:val="FooterAgency"/>
                  <w:rPr>
                    <w:rFonts w:cs="Verdana"/>
                  </w:rPr>
                </w:pPr>
              </w:p>
            </w:tc>
            <w:tc>
              <w:tcPr>
                <w:tcW w:w="709" w:type="dxa"/>
                <w:vMerge/>
                <w:shd w:val="clear" w:color="auto" w:fill="auto"/>
              </w:tcPr>
              <w:p w:rsidR="009401DB" w:rsidRPr="00466396" w:rsidRDefault="009401DB">
                <w:pPr>
                  <w:pStyle w:val="FooterAgency"/>
                  <w:rPr>
                    <w:rFonts w:cs="Verdana"/>
                  </w:rPr>
                </w:pPr>
              </w:p>
            </w:tc>
          </w:tr>
        </w:tbl>
        <w:p w:rsidR="009401DB" w:rsidRPr="00466396" w:rsidRDefault="009401DB">
          <w:pPr>
            <w:pStyle w:val="FooterAgency"/>
            <w:widowControl w:val="0"/>
            <w:adjustRightInd w:val="0"/>
            <w:jc w:val="right"/>
            <w:rPr>
              <w:rFonts w:cs="Verdana"/>
            </w:rPr>
          </w:pPr>
        </w:p>
      </w:tc>
    </w:tr>
    <w:tr w:rsidR="009401DB" w:rsidRPr="00390AC0">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9401DB" w:rsidRPr="003A07BE">
            <w:trPr>
              <w:trHeight w:hRule="exact" w:val="198"/>
            </w:trPr>
            <w:tc>
              <w:tcPr>
                <w:tcW w:w="840" w:type="dxa"/>
                <w:vAlign w:val="bottom"/>
              </w:tcPr>
              <w:p w:rsidR="009401DB" w:rsidRPr="00466396" w:rsidRDefault="009401DB">
                <w:pPr>
                  <w:pStyle w:val="FooterblueAgency"/>
                  <w:rPr>
                    <w:rFonts w:cs="Verdana"/>
                  </w:rPr>
                </w:pPr>
                <w:r w:rsidRPr="00466396">
                  <w:rPr>
                    <w:rFonts w:cs="Verdana"/>
                  </w:rPr>
                  <w:t>Telephone</w:t>
                </w:r>
              </w:p>
            </w:tc>
            <w:tc>
              <w:tcPr>
                <w:tcW w:w="1648" w:type="dxa"/>
                <w:vAlign w:val="bottom"/>
              </w:tcPr>
              <w:p w:rsidR="009401DB" w:rsidRPr="00466396" w:rsidRDefault="009401DB">
                <w:pPr>
                  <w:pStyle w:val="FooterAgency"/>
                  <w:rPr>
                    <w:rFonts w:cs="Verdana"/>
                  </w:rPr>
                </w:pPr>
                <w:r w:rsidRPr="00466396">
                  <w:rPr>
                    <w:rFonts w:cs="Verdana"/>
                  </w:rPr>
                  <w:t>+44 (0)20 3660 6000</w:t>
                </w:r>
              </w:p>
            </w:tc>
            <w:tc>
              <w:tcPr>
                <w:tcW w:w="726" w:type="dxa"/>
                <w:vAlign w:val="bottom"/>
              </w:tcPr>
              <w:p w:rsidR="009401DB" w:rsidRPr="00466396" w:rsidRDefault="009401DB">
                <w:pPr>
                  <w:pStyle w:val="FooterblueAgency"/>
                  <w:rPr>
                    <w:rFonts w:cs="Verdana"/>
                  </w:rPr>
                </w:pPr>
                <w:r w:rsidRPr="00466396">
                  <w:rPr>
                    <w:rFonts w:cs="Verdana"/>
                  </w:rPr>
                  <w:t>Facsimile</w:t>
                </w:r>
              </w:p>
            </w:tc>
            <w:tc>
              <w:tcPr>
                <w:tcW w:w="2767" w:type="dxa"/>
                <w:vAlign w:val="bottom"/>
              </w:tcPr>
              <w:p w:rsidR="009401DB" w:rsidRPr="00466396" w:rsidRDefault="009401DB">
                <w:pPr>
                  <w:pStyle w:val="FooterAgency"/>
                  <w:rPr>
                    <w:rFonts w:cs="Verdana"/>
                  </w:rPr>
                </w:pPr>
                <w:r w:rsidRPr="00466396">
                  <w:rPr>
                    <w:rFonts w:cs="Verdana"/>
                  </w:rPr>
                  <w:t>+44 (0)20 3660 5555</w:t>
                </w:r>
              </w:p>
            </w:tc>
          </w:tr>
          <w:tr w:rsidR="009401DB" w:rsidRPr="003A07BE">
            <w:trPr>
              <w:trHeight w:hRule="exact" w:val="198"/>
            </w:trPr>
            <w:tc>
              <w:tcPr>
                <w:tcW w:w="5981" w:type="dxa"/>
                <w:gridSpan w:val="4"/>
                <w:vAlign w:val="bottom"/>
              </w:tcPr>
              <w:p w:rsidR="009401DB" w:rsidRPr="00466396" w:rsidRDefault="009401DB">
                <w:pPr>
                  <w:pStyle w:val="FooterAgency"/>
                  <w:rPr>
                    <w:rFonts w:cs="Verdana"/>
                  </w:rPr>
                </w:pPr>
                <w:r w:rsidRPr="00584092">
                  <w:rPr>
                    <w:rStyle w:val="FooterblueAgencyCharChar"/>
                  </w:rPr>
                  <w:t>Send a question via our website</w:t>
                </w:r>
                <w:r w:rsidRPr="00466396">
                  <w:rPr>
                    <w:rFonts w:cs="Verdana"/>
                  </w:rPr>
                  <w:t xml:space="preserve"> www.ema.europa.eu/contact</w:t>
                </w:r>
              </w:p>
            </w:tc>
          </w:tr>
        </w:tbl>
        <w:p w:rsidR="009401DB" w:rsidRPr="00466396" w:rsidRDefault="009401DB">
          <w:pPr>
            <w:pStyle w:val="FooterAgency"/>
            <w:rPr>
              <w:rFonts w:cs="Verdana"/>
            </w:rPr>
          </w:pPr>
        </w:p>
      </w:tc>
      <w:tc>
        <w:tcPr>
          <w:tcW w:w="3207" w:type="dxa"/>
          <w:vMerge/>
          <w:shd w:val="clear" w:color="auto" w:fill="auto"/>
          <w:tcMar>
            <w:left w:w="0" w:type="dxa"/>
            <w:right w:w="0" w:type="dxa"/>
          </w:tcMar>
          <w:vAlign w:val="bottom"/>
        </w:tcPr>
        <w:p w:rsidR="009401DB" w:rsidRPr="00466396" w:rsidRDefault="009401DB">
          <w:pPr>
            <w:pStyle w:val="FooterAgency"/>
            <w:rPr>
              <w:rFonts w:cs="Verdana"/>
            </w:rPr>
          </w:pPr>
        </w:p>
      </w:tc>
    </w:tr>
    <w:tr w:rsidR="009401DB" w:rsidRPr="00390AC0">
      <w:tc>
        <w:tcPr>
          <w:tcW w:w="9413" w:type="dxa"/>
          <w:gridSpan w:val="2"/>
          <w:shd w:val="clear" w:color="auto" w:fill="auto"/>
          <w:tcMar>
            <w:left w:w="0" w:type="dxa"/>
            <w:right w:w="0" w:type="dxa"/>
          </w:tcMar>
          <w:vAlign w:val="bottom"/>
        </w:tcPr>
        <w:p w:rsidR="009401DB" w:rsidRPr="00466396" w:rsidRDefault="009401DB">
          <w:pPr>
            <w:pStyle w:val="FooterAgency"/>
            <w:rPr>
              <w:rFonts w:cs="Verdana"/>
            </w:rPr>
          </w:pPr>
        </w:p>
      </w:tc>
    </w:tr>
    <w:tr w:rsidR="009401DB" w:rsidRPr="00390AC0">
      <w:tc>
        <w:tcPr>
          <w:tcW w:w="9413" w:type="dxa"/>
          <w:gridSpan w:val="2"/>
          <w:shd w:val="clear" w:color="auto" w:fill="auto"/>
          <w:tcMar>
            <w:left w:w="0" w:type="dxa"/>
            <w:right w:w="0" w:type="dxa"/>
          </w:tcMar>
          <w:vAlign w:val="bottom"/>
        </w:tcPr>
        <w:p w:rsidR="009401DB" w:rsidRPr="00466396" w:rsidRDefault="009401DB">
          <w:pPr>
            <w:pStyle w:val="FooterAgency"/>
            <w:jc w:val="center"/>
            <w:rPr>
              <w:rFonts w:cs="Verdana"/>
            </w:rPr>
          </w:pPr>
          <w:r w:rsidRPr="00466396">
            <w:rPr>
              <w:rFonts w:cs="Verdana"/>
            </w:rPr>
            <w:t xml:space="preserve">© European Medicines Agency, </w:t>
          </w:r>
          <w:r w:rsidR="001A6BCF" w:rsidRPr="00466396">
            <w:rPr>
              <w:rFonts w:cs="Verdana"/>
            </w:rPr>
            <w:fldChar w:fldCharType="begin"/>
          </w:r>
          <w:r w:rsidRPr="00466396">
            <w:rPr>
              <w:rFonts w:cs="Verdana"/>
            </w:rPr>
            <w:instrText xml:space="preserve"> DATE  \@ "yyyy"  \* MERGEFORMAT </w:instrText>
          </w:r>
          <w:r w:rsidR="001A6BCF" w:rsidRPr="00466396">
            <w:rPr>
              <w:rFonts w:cs="Verdana"/>
            </w:rPr>
            <w:fldChar w:fldCharType="separate"/>
          </w:r>
          <w:r w:rsidR="00CE5EE9">
            <w:rPr>
              <w:rFonts w:cs="Verdana"/>
              <w:noProof/>
            </w:rPr>
            <w:t>2016</w:t>
          </w:r>
          <w:r w:rsidR="001A6BCF" w:rsidRPr="00466396">
            <w:rPr>
              <w:rFonts w:cs="Verdana"/>
            </w:rPr>
            <w:fldChar w:fldCharType="end"/>
          </w:r>
          <w:r w:rsidRPr="00466396">
            <w:rPr>
              <w:rFonts w:cs="Verdana"/>
            </w:rPr>
            <w:t>. Reproduction is authorised provided the source is acknowledged.</w:t>
          </w:r>
        </w:p>
      </w:tc>
    </w:tr>
  </w:tbl>
  <w:p w:rsidR="009401DB" w:rsidRDefault="009401DB" w:rsidP="00AB70A0">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AE" w:rsidRDefault="007B36AE">
      <w:r>
        <w:separator/>
      </w:r>
    </w:p>
  </w:footnote>
  <w:footnote w:type="continuationSeparator" w:id="0">
    <w:p w:rsidR="007B36AE" w:rsidRDefault="007B36AE">
      <w:r>
        <w:continuationSeparator/>
      </w:r>
    </w:p>
  </w:footnote>
  <w:footnote w:type="continuationNotice" w:id="1">
    <w:p w:rsidR="007B36AE" w:rsidRDefault="007B36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E0" w:rsidRDefault="00403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E0" w:rsidRDefault="00403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DB" w:rsidRDefault="00F02808" w:rsidP="00AB70A0">
    <w:pPr>
      <w:pStyle w:val="HeaderAgency"/>
      <w:jc w:val="center"/>
    </w:pPr>
    <w:r>
      <w:rPr>
        <w:noProof/>
      </w:rPr>
      <w:drawing>
        <wp:inline distT="0" distB="0" distL="0" distR="0">
          <wp:extent cx="3551555" cy="1797050"/>
          <wp:effectExtent l="25400" t="0" r="4445" b="0"/>
          <wp:docPr id="1"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SWord"/>
                  <pic:cNvPicPr>
                    <a:picLocks noChangeAspect="1" noChangeArrowheads="1"/>
                  </pic:cNvPicPr>
                </pic:nvPicPr>
                <pic:blipFill>
                  <a:blip r:embed="rId1"/>
                  <a:srcRect/>
                  <a:stretch>
                    <a:fillRect/>
                  </a:stretch>
                </pic:blipFill>
                <pic:spPr bwMode="auto">
                  <a:xfrm>
                    <a:off x="0" y="0"/>
                    <a:ext cx="3551555" cy="1797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8A7"/>
    <w:multiLevelType w:val="hybridMultilevel"/>
    <w:tmpl w:val="A706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DD37F57"/>
    <w:multiLevelType w:val="hybridMultilevel"/>
    <w:tmpl w:val="DDF6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B51C89"/>
    <w:multiLevelType w:val="hybridMultilevel"/>
    <w:tmpl w:val="E1CE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5148F"/>
    <w:multiLevelType w:val="hybridMultilevel"/>
    <w:tmpl w:val="C7E6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8">
    <w:nsid w:val="31831E07"/>
    <w:multiLevelType w:val="hybridMultilevel"/>
    <w:tmpl w:val="302C5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DE797E"/>
    <w:multiLevelType w:val="hybridMultilevel"/>
    <w:tmpl w:val="4646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BD1875"/>
    <w:multiLevelType w:val="hybridMultilevel"/>
    <w:tmpl w:val="E712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2">
    <w:nsid w:val="6AD536D3"/>
    <w:multiLevelType w:val="hybridMultilevel"/>
    <w:tmpl w:val="55B6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F1522A"/>
    <w:multiLevelType w:val="hybridMultilevel"/>
    <w:tmpl w:val="6CA20EA8"/>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DB427E5"/>
    <w:multiLevelType w:val="hybridMultilevel"/>
    <w:tmpl w:val="6682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2"/>
  </w:num>
  <w:num w:numId="6">
    <w:abstractNumId w:val="6"/>
  </w:num>
  <w:num w:numId="7">
    <w:abstractNumId w:val="3"/>
  </w:num>
  <w:num w:numId="8">
    <w:abstractNumId w:val="12"/>
  </w:num>
  <w:num w:numId="9">
    <w:abstractNumId w:val="14"/>
  </w:num>
  <w:num w:numId="10">
    <w:abstractNumId w:val="0"/>
  </w:num>
  <w:num w:numId="11">
    <w:abstractNumId w:val="9"/>
  </w:num>
  <w:num w:numId="12">
    <w:abstractNumId w:val="8"/>
  </w:num>
  <w:num w:numId="13">
    <w:abstractNumId w:val="10"/>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9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TemplateVersion" w:val="February2010"/>
  </w:docVars>
  <w:rsids>
    <w:rsidRoot w:val="00201FFC"/>
    <w:rsid w:val="000224A2"/>
    <w:rsid w:val="00090743"/>
    <w:rsid w:val="000B444B"/>
    <w:rsid w:val="00102C49"/>
    <w:rsid w:val="001A6BCF"/>
    <w:rsid w:val="001D066D"/>
    <w:rsid w:val="001F6756"/>
    <w:rsid w:val="00201FFC"/>
    <w:rsid w:val="002403A5"/>
    <w:rsid w:val="002D4D19"/>
    <w:rsid w:val="00321AFC"/>
    <w:rsid w:val="00336C4F"/>
    <w:rsid w:val="003608C8"/>
    <w:rsid w:val="003C5344"/>
    <w:rsid w:val="004033E0"/>
    <w:rsid w:val="004C5784"/>
    <w:rsid w:val="005623E3"/>
    <w:rsid w:val="005B6129"/>
    <w:rsid w:val="005C4CD6"/>
    <w:rsid w:val="005D7B78"/>
    <w:rsid w:val="00653950"/>
    <w:rsid w:val="006F641C"/>
    <w:rsid w:val="0070719B"/>
    <w:rsid w:val="00717841"/>
    <w:rsid w:val="0072392F"/>
    <w:rsid w:val="00746909"/>
    <w:rsid w:val="00754ABB"/>
    <w:rsid w:val="00761017"/>
    <w:rsid w:val="00761142"/>
    <w:rsid w:val="00763F86"/>
    <w:rsid w:val="007B36AE"/>
    <w:rsid w:val="008A245E"/>
    <w:rsid w:val="009075D9"/>
    <w:rsid w:val="00913913"/>
    <w:rsid w:val="009401DB"/>
    <w:rsid w:val="00957040"/>
    <w:rsid w:val="0096177D"/>
    <w:rsid w:val="00A71340"/>
    <w:rsid w:val="00AB70A0"/>
    <w:rsid w:val="00AD52DF"/>
    <w:rsid w:val="00AD781A"/>
    <w:rsid w:val="00AF09E6"/>
    <w:rsid w:val="00B34E96"/>
    <w:rsid w:val="00C15876"/>
    <w:rsid w:val="00CB7066"/>
    <w:rsid w:val="00CC35C5"/>
    <w:rsid w:val="00CE0AE7"/>
    <w:rsid w:val="00CE5EE9"/>
    <w:rsid w:val="00DE7A57"/>
    <w:rsid w:val="00DF0315"/>
    <w:rsid w:val="00DF2625"/>
    <w:rsid w:val="00E04D78"/>
    <w:rsid w:val="00E51DF4"/>
    <w:rsid w:val="00E76412"/>
    <w:rsid w:val="00ED0F03"/>
    <w:rsid w:val="00F02808"/>
    <w:rsid w:val="00F04460"/>
    <w:rsid w:val="00F62820"/>
    <w:rsid w:val="00F932F1"/>
    <w:rsid w:val="00F96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59"/>
    <w:rPr>
      <w:rFonts w:ascii="Verdana" w:hAnsi="Verdana" w:cs="Verdana"/>
      <w:sz w:val="18"/>
      <w:szCs w:val="18"/>
      <w:lang w:val="en-GB" w:eastAsia="zh-CN"/>
    </w:rPr>
  </w:style>
  <w:style w:type="paragraph" w:styleId="Heading1">
    <w:name w:val="heading 1"/>
    <w:basedOn w:val="No-numheading1Agency"/>
    <w:next w:val="BodytextAgency"/>
    <w:qFormat/>
    <w:rsid w:val="00E51159"/>
    <w:rPr>
      <w:noProof/>
    </w:rPr>
  </w:style>
  <w:style w:type="paragraph" w:styleId="Heading2">
    <w:name w:val="heading 2"/>
    <w:basedOn w:val="No-numheading2Agency"/>
    <w:next w:val="BodytextAgency"/>
    <w:qFormat/>
    <w:rsid w:val="00E51159"/>
  </w:style>
  <w:style w:type="paragraph" w:styleId="Heading3">
    <w:name w:val="heading 3"/>
    <w:basedOn w:val="No-numheading3Agency"/>
    <w:next w:val="BodytextAgency"/>
    <w:qFormat/>
    <w:rsid w:val="00E51159"/>
  </w:style>
  <w:style w:type="paragraph" w:styleId="Heading4">
    <w:name w:val="heading 4"/>
    <w:basedOn w:val="No-numheading4Agency"/>
    <w:next w:val="BodytextAgency"/>
    <w:qFormat/>
    <w:rsid w:val="00E51159"/>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style>
  <w:style w:type="paragraph" w:styleId="Heading7">
    <w:name w:val="heading 7"/>
    <w:basedOn w:val="No-numheading7Agency"/>
    <w:next w:val="BodytextAgency"/>
    <w:qFormat/>
    <w:rsid w:val="00E51159"/>
  </w:style>
  <w:style w:type="paragraph" w:styleId="Heading8">
    <w:name w:val="heading 8"/>
    <w:basedOn w:val="No-numheading8Agency"/>
    <w:next w:val="BodytextAgency"/>
    <w:qFormat/>
    <w:rsid w:val="00E51159"/>
  </w:style>
  <w:style w:type="paragraph" w:styleId="Heading9">
    <w:name w:val="heading 9"/>
    <w:basedOn w:val="No-numheading9Agency"/>
    <w:next w:val="BodytextAgency"/>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CD2ABA"/>
    <w:rPr>
      <w:rFonts w:eastAsia="Verdana" w:cs="Times New Roman"/>
      <w:color w:val="6D6F71"/>
      <w:sz w:val="14"/>
      <w:szCs w:val="14"/>
      <w:lang w:eastAsia="en-GB"/>
    </w:rPr>
  </w:style>
  <w:style w:type="paragraph" w:customStyle="1" w:styleId="FooterblueAgency">
    <w:name w:val="Footer blue (Agency)"/>
    <w:basedOn w:val="Normal"/>
    <w:link w:val="FooterblueAgencyCharChar"/>
    <w:rsid w:val="00CD2ABA"/>
    <w:rPr>
      <w:rFonts w:eastAsia="Verdana" w:cs="Times New Roman"/>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Courier New" w:hAnsi="Courier New"/>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CD2ABA"/>
    <w:rPr>
      <w:rFonts w:ascii="Verdana" w:eastAsia="Verdana" w:hAnsi="Verdana" w:cs="Verdana"/>
      <w:color w:val="6D6F71"/>
      <w:sz w:val="14"/>
      <w:szCs w:val="14"/>
      <w:lang w:val="en-GB" w:eastAsia="en-GB"/>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CD2ABA"/>
    <w:rPr>
      <w:rFonts w:ascii="Verdana" w:eastAsia="Verdana" w:hAnsi="Verdana" w:cs="Verdana"/>
      <w:b/>
      <w:color w:val="003399"/>
      <w:sz w:val="13"/>
      <w:szCs w:val="14"/>
      <w:lang w:val="en-GB" w:eastAsia="en-GB"/>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2"/>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51159"/>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qFormat/>
    <w:rsid w:val="00E51159"/>
    <w:pPr>
      <w:keepNext/>
      <w:numPr>
        <w:ilvl w:val="1"/>
        <w:numId w:val="3"/>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E51159"/>
    <w:pPr>
      <w:keepNext/>
      <w:numPr>
        <w:ilvl w:val="2"/>
        <w:numId w:val="3"/>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E51159"/>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4"/>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New" w:hAnsi="Courier New"/>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ourier New" w:hAnsi="Courier New"/>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Courier New" w:hAnsi="Courier New"/>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5"/>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96BF6"/>
    <w:rPr>
      <w:rFonts w:ascii="Verdana" w:eastAsia="Times New Roman" w:hAnsi="Verdana"/>
      <w:color w:val="FF0000"/>
      <w:sz w:val="17"/>
      <w:szCs w:val="17"/>
      <w:lang w:val="en-GB" w:eastAsia="en-GB"/>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rsid w:val="00B62CFA"/>
    <w:rPr>
      <w:rFonts w:ascii="Tahoma" w:hAnsi="Tahoma" w:cs="Times New Roman"/>
      <w:sz w:val="16"/>
      <w:szCs w:val="16"/>
    </w:rPr>
  </w:style>
  <w:style w:type="character" w:customStyle="1" w:styleId="BalloonTextChar">
    <w:name w:val="Balloon Text Char"/>
    <w:link w:val="BalloonText"/>
    <w:rsid w:val="00B62CFA"/>
    <w:rPr>
      <w:rFonts w:ascii="Tahoma" w:hAnsi="Tahoma" w:cs="Tahoma"/>
      <w:sz w:val="16"/>
      <w:szCs w:val="16"/>
      <w:lang w:eastAsia="zh-CN"/>
    </w:rPr>
  </w:style>
  <w:style w:type="paragraph" w:customStyle="1" w:styleId="MediumGrid1-Accent21">
    <w:name w:val="Medium Grid 1 - Accent 21"/>
    <w:basedOn w:val="Normal"/>
    <w:uiPriority w:val="34"/>
    <w:qFormat/>
    <w:rsid w:val="00B846CA"/>
    <w:pPr>
      <w:spacing w:line="276" w:lineRule="auto"/>
      <w:ind w:left="720"/>
      <w:contextualSpacing/>
    </w:pPr>
    <w:rPr>
      <w:rFonts w:ascii="Arial" w:eastAsia="Calibri" w:hAnsi="Arial" w:cs="Arial"/>
      <w:sz w:val="24"/>
      <w:szCs w:val="28"/>
      <w:lang w:val="en-US" w:eastAsia="en-US"/>
    </w:rPr>
  </w:style>
  <w:style w:type="paragraph" w:customStyle="1" w:styleId="Default">
    <w:name w:val="Default"/>
    <w:rsid w:val="00B846CA"/>
    <w:pPr>
      <w:autoSpaceDE w:val="0"/>
      <w:autoSpaceDN w:val="0"/>
      <w:adjustRightInd w:val="0"/>
    </w:pPr>
    <w:rPr>
      <w:rFonts w:ascii="Century Schoolbook" w:eastAsia="Calibri" w:hAnsi="Century Schoolbook" w:cs="Century Schoolbook"/>
      <w:color w:val="000000"/>
      <w:sz w:val="24"/>
      <w:szCs w:val="24"/>
    </w:rPr>
  </w:style>
  <w:style w:type="character" w:styleId="CommentReference">
    <w:name w:val="annotation reference"/>
    <w:rsid w:val="008353BC"/>
    <w:rPr>
      <w:sz w:val="16"/>
      <w:szCs w:val="16"/>
    </w:rPr>
  </w:style>
  <w:style w:type="paragraph" w:styleId="CommentText">
    <w:name w:val="annotation text"/>
    <w:basedOn w:val="Normal"/>
    <w:link w:val="CommentTextChar"/>
    <w:rsid w:val="008353BC"/>
    <w:rPr>
      <w:rFonts w:cs="Times New Roman"/>
      <w:sz w:val="20"/>
      <w:szCs w:val="20"/>
    </w:rPr>
  </w:style>
  <w:style w:type="character" w:customStyle="1" w:styleId="CommentTextChar">
    <w:name w:val="Comment Text Char"/>
    <w:link w:val="CommentText"/>
    <w:rsid w:val="008353BC"/>
    <w:rPr>
      <w:rFonts w:ascii="Verdana" w:hAnsi="Verdana" w:cs="Verdana"/>
      <w:lang w:eastAsia="zh-CN"/>
    </w:rPr>
  </w:style>
  <w:style w:type="paragraph" w:styleId="CommentSubject">
    <w:name w:val="annotation subject"/>
    <w:basedOn w:val="CommentText"/>
    <w:next w:val="CommentText"/>
    <w:link w:val="CommentSubjectChar"/>
    <w:rsid w:val="008353BC"/>
    <w:rPr>
      <w:b/>
      <w:bCs/>
    </w:rPr>
  </w:style>
  <w:style w:type="character" w:customStyle="1" w:styleId="CommentSubjectChar">
    <w:name w:val="Comment Subject Char"/>
    <w:link w:val="CommentSubject"/>
    <w:rsid w:val="008353BC"/>
    <w:rPr>
      <w:rFonts w:ascii="Verdana" w:hAnsi="Verdana" w:cs="Verdana"/>
      <w:b/>
      <w:bCs/>
      <w:lang w:eastAsia="zh-CN"/>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96BF6"/>
    <w:pPr>
      <w:keepNext/>
      <w:pBdr>
        <w:bottom w:val="single" w:sz="4" w:space="1" w:color="auto"/>
      </w:pBdr>
      <w:spacing w:before="567"/>
    </w:pPr>
    <w:rPr>
      <w:rFonts w:ascii="Verdana" w:eastAsia="Verdana" w:hAnsi="Verdana" w:cs="Verdana"/>
      <w:b/>
      <w:color w:val="003399"/>
      <w:sz w:val="18"/>
      <w:szCs w:val="18"/>
      <w:lang w:val="en-GB" w:eastAsia="en-GB"/>
    </w:rPr>
  </w:style>
  <w:style w:type="character" w:customStyle="1" w:styleId="PageNumberAgency0">
    <w:name w:val="Page Number (Agency)"/>
    <w:rsid w:val="00CD2ABA"/>
    <w:rPr>
      <w:rFonts w:ascii="Verdana" w:hAnsi="Verdana"/>
      <w:sz w:val="14"/>
    </w:rPr>
  </w:style>
  <w:style w:type="paragraph" w:customStyle="1" w:styleId="ColorfulShading-Accent11">
    <w:name w:val="Colorful Shading - Accent 11"/>
    <w:hidden/>
    <w:rsid w:val="00BD7315"/>
    <w:rPr>
      <w:rFonts w:ascii="Verdana" w:hAnsi="Verdana" w:cs="Verdana"/>
      <w:sz w:val="18"/>
      <w:szCs w:val="18"/>
      <w:lang w:val="en-GB" w:eastAsia="zh-CN"/>
    </w:rPr>
  </w:style>
  <w:style w:type="paragraph" w:customStyle="1" w:styleId="ColorfulList-Accent11">
    <w:name w:val="Colorful List - Accent 11"/>
    <w:basedOn w:val="Normal"/>
    <w:uiPriority w:val="34"/>
    <w:qFormat/>
    <w:rsid w:val="00BD7315"/>
    <w:pPr>
      <w:ind w:left="720"/>
    </w:pPr>
    <w:rPr>
      <w:rFonts w:ascii="Calibri" w:eastAsia="Calibri" w:hAnsi="Calibri" w:cs="Times New Roman"/>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centredAgency">
    <w:name w:val="BulletsAgency"/>
    <w:pPr>
      <w:numPr>
        <w:numId w:val="1"/>
      </w:numPr>
    </w:pPr>
  </w:style>
  <w:style w:type="numbering" w:customStyle="1" w:styleId="Footer">
    <w:name w:val="NumberlistAgenc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492">
      <w:bodyDiv w:val="1"/>
      <w:marLeft w:val="0"/>
      <w:marRight w:val="0"/>
      <w:marTop w:val="0"/>
      <w:marBottom w:val="0"/>
      <w:divBdr>
        <w:top w:val="none" w:sz="0" w:space="0" w:color="auto"/>
        <w:left w:val="none" w:sz="0" w:space="0" w:color="auto"/>
        <w:bottom w:val="none" w:sz="0" w:space="0" w:color="auto"/>
        <w:right w:val="none" w:sz="0" w:space="0" w:color="auto"/>
      </w:divBdr>
    </w:div>
    <w:div w:id="551962915">
      <w:bodyDiv w:val="1"/>
      <w:marLeft w:val="0"/>
      <w:marRight w:val="0"/>
      <w:marTop w:val="0"/>
      <w:marBottom w:val="0"/>
      <w:divBdr>
        <w:top w:val="none" w:sz="0" w:space="0" w:color="auto"/>
        <w:left w:val="none" w:sz="0" w:space="0" w:color="auto"/>
        <w:bottom w:val="none" w:sz="0" w:space="0" w:color="auto"/>
        <w:right w:val="none" w:sz="0" w:space="0" w:color="auto"/>
      </w:divBdr>
    </w:div>
    <w:div w:id="944265731">
      <w:bodyDiv w:val="1"/>
      <w:marLeft w:val="0"/>
      <w:marRight w:val="0"/>
      <w:marTop w:val="0"/>
      <w:marBottom w:val="0"/>
      <w:divBdr>
        <w:top w:val="none" w:sz="0" w:space="0" w:color="auto"/>
        <w:left w:val="none" w:sz="0" w:space="0" w:color="auto"/>
        <w:bottom w:val="none" w:sz="0" w:space="0" w:color="auto"/>
        <w:right w:val="none" w:sz="0" w:space="0" w:color="auto"/>
      </w:divBdr>
    </w:div>
    <w:div w:id="1157913572">
      <w:bodyDiv w:val="1"/>
      <w:marLeft w:val="0"/>
      <w:marRight w:val="0"/>
      <w:marTop w:val="0"/>
      <w:marBottom w:val="0"/>
      <w:divBdr>
        <w:top w:val="none" w:sz="0" w:space="0" w:color="auto"/>
        <w:left w:val="none" w:sz="0" w:space="0" w:color="auto"/>
        <w:bottom w:val="none" w:sz="0" w:space="0" w:color="auto"/>
        <w:right w:val="none" w:sz="0" w:space="0" w:color="auto"/>
      </w:divBdr>
    </w:div>
    <w:div w:id="158102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Agency\BLAN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REPORT</Template>
  <TotalTime>1</TotalTime>
  <Pages>6</Pages>
  <Words>1628</Words>
  <Characters>9285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IME criteria v19.0_MSSO draft for EVEWG review</vt:lpstr>
    </vt:vector>
  </TitlesOfParts>
  <Company>European Medicines Agency</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criteria v19.0_MSSO draft for EVEWG review</dc:title>
  <dc:creator>Cappelli Benedicte</dc:creator>
  <dc:description>Template developed for European Medicines Agency by Fiona Lewis and Vanessa Crookes December 2009</dc:description>
  <cp:lastModifiedBy>Cruickshank Susan</cp:lastModifiedBy>
  <cp:revision>2</cp:revision>
  <cp:lastPrinted>2015-03-09T21:29:00Z</cp:lastPrinted>
  <dcterms:created xsi:type="dcterms:W3CDTF">2016-03-09T14:18:00Z</dcterms:created>
  <dcterms:modified xsi:type="dcterms:W3CDTF">2016-03-09T14:18:00Z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CURRENT,1.7</vt:lpwstr>
  </property>
  <property fmtid="{D5CDD505-2E9C-101B-9397-08002B2CF9AE}" pid="4" name="DM_Name">
    <vt:lpwstr>IME criteria v19.0_MSSO draft for EVEWG review</vt:lpwstr>
  </property>
  <property fmtid="{D5CDD505-2E9C-101B-9397-08002B2CF9AE}" pid="5" name="DM_Creation_Date">
    <vt:lpwstr>09/03/2016 11:15:22</vt:lpwstr>
  </property>
  <property fmtid="{D5CDD505-2E9C-101B-9397-08002B2CF9AE}" pid="6" name="DM_Modify_Date">
    <vt:lpwstr>09/03/2016 11:15:22</vt:lpwstr>
  </property>
  <property fmtid="{D5CDD505-2E9C-101B-9397-08002B2CF9AE}" pid="7" name="DM_Creator_Name">
    <vt:lpwstr>Nilsson Evelina</vt:lpwstr>
  </property>
  <property fmtid="{D5CDD505-2E9C-101B-9397-08002B2CF9AE}" pid="8" name="DM_Modifier_Name">
    <vt:lpwstr>Nilsson Evelina</vt:lpwstr>
  </property>
  <property fmtid="{D5CDD505-2E9C-101B-9397-08002B2CF9AE}" pid="9" name="DM_Type">
    <vt:lpwstr>emea_document</vt:lpwstr>
  </property>
  <property fmtid="{D5CDD505-2E9C-101B-9397-08002B2CF9AE}" pid="10" name="DM_DocRefId">
    <vt:lpwstr>EMA/154648/2016</vt:lpwstr>
  </property>
  <property fmtid="{D5CDD505-2E9C-101B-9397-08002B2CF9AE}" pid="11" name="DM_Category">
    <vt:lpwstr>General</vt:lpwstr>
  </property>
  <property fmtid="{D5CDD505-2E9C-101B-9397-08002B2CF9AE}" pid="12" name="DM_Path">
    <vt:lpwstr>/13. Projects/zz. Closed projects 2004-2014/EudraVigilance - NEW STRUCTURE/EV Development/System Components/MedDRA/MedDRA development/MedDRA Term Lists/Important Medical Events/v. 19.0</vt:lpwstr>
  </property>
  <property fmtid="{D5CDD505-2E9C-101B-9397-08002B2CF9AE}" pid="13" name="DM_emea_doc_ref_id">
    <vt:lpwstr>EMA/154648/2016</vt:lpwstr>
  </property>
  <property fmtid="{D5CDD505-2E9C-101B-9397-08002B2CF9AE}" pid="14" name="DM_Modifer_Name">
    <vt:lpwstr>Nilsson Evelina</vt:lpwstr>
  </property>
  <property fmtid="{D5CDD505-2E9C-101B-9397-08002B2CF9AE}" pid="15" name="DM_Modified_Date">
    <vt:lpwstr>09/03/2016 11:15:22</vt:lpwstr>
  </property>
</Properties>
</file>